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png" ContentType="image/png"/>
  <Override PartName="/word/media/rId34.png" ContentType="image/png"/>
  <Override PartName="/word/media/rId73.png" ContentType="image/png"/>
  <Override PartName="/word/media/rId53.png" ContentType="image/png"/>
  <Override PartName="/word/media/rId57.png" ContentType="image/png"/>
  <Override PartName="/word/media/rId55.png" ContentType="image/png"/>
  <Override PartName="/word/media/rId59.png" ContentType="image/png"/>
  <Override PartName="/word/media/rId78.png" ContentType="image/png"/>
  <Override PartName="/word/media/rId21.png" ContentType="image/png"/>
  <Override PartName="/word/media/rId92.png" ContentType="image/png"/>
  <Override PartName="/word/media/rId37.png" ContentType="image/png"/>
  <Override PartName="/word/media/rId85.png" ContentType="image/png"/>
  <Override PartName="/word/media/rId83.png" ContentType="image/png"/>
  <Override PartName="/word/media/rId81.png" ContentType="image/png"/>
  <Override PartName="/word/media/rId28.png" ContentType="image/png"/>
  <Override PartName="/word/media/rId65.jpg" ContentType="image/jpeg"/>
  <Override PartName="/word/media/rId66.jpg" ContentType="image/jpeg"/>
  <Override PartName="/word/media/rId67.jpg" ContentType="image/jpeg"/>
  <Override PartName="/word/media/rId68.jpg" ContentType="image/jpeg"/>
  <Override PartName="/word/media/rId69.jpg" ContentType="image/jpeg"/>
  <Override PartName="/word/media/rId70.jpg" ContentType="image/jpeg"/>
  <Override PartName="/word/media/rId61.jpg" ContentType="image/jpeg"/>
  <Override PartName="/word/media/rId62.jpg" ContentType="image/jpeg"/>
  <Override PartName="/word/media/rId63.jpg" ContentType="image/jpeg"/>
  <Override PartName="/word/media/rId64.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Breaking</w:t>
      </w:r>
      <w:r>
        <w:t xml:space="preserve"> </w:t>
      </w:r>
      <w:r>
        <w:t xml:space="preserve">the</w:t>
      </w:r>
      <w:r>
        <w:t xml:space="preserve"> </w:t>
      </w:r>
      <w:r>
        <w:t xml:space="preserve">Upper</w:t>
      </w:r>
      <w:r>
        <w:t xml:space="preserve"> </w:t>
      </w:r>
      <w:r>
        <w:t xml:space="preserve">Bound</w:t>
      </w:r>
      <w:r>
        <w:t xml:space="preserve"> </w:t>
      </w:r>
      <w:r>
        <w:t xml:space="preserve">of</w:t>
      </w:r>
      <w:r>
        <w:t xml:space="preserve"> </w:t>
      </w:r>
      <w:r>
        <w:t xml:space="preserve">Siloxane</w:t>
      </w:r>
      <w:r>
        <w:t xml:space="preserve"> </w:t>
      </w:r>
      <w:r>
        <w:t xml:space="preserve">Uptake:</w:t>
      </w:r>
      <w:r>
        <w:t xml:space="preserve"> </w:t>
      </w:r>
      <w:r>
        <w:t xml:space="preserve">Metal-Organic</w:t>
      </w:r>
      <w:r>
        <w:t xml:space="preserve"> </w:t>
      </w:r>
      <w:r>
        <w:t xml:space="preserve">Frameworks</w:t>
      </w:r>
      <w:r>
        <w:t xml:space="preserve"> </w:t>
      </w:r>
      <w:r>
        <w:t xml:space="preserve">as</w:t>
      </w:r>
      <w:r>
        <w:t xml:space="preserve"> </w:t>
      </w:r>
      <w:r>
        <w:t xml:space="preserve">an</w:t>
      </w:r>
      <w:r>
        <w:t xml:space="preserve"> </w:t>
      </w:r>
      <w:r>
        <w:t xml:space="preserve">Adsorbent</w:t>
      </w:r>
      <w:r>
        <w:t xml:space="preserve"> </w:t>
      </w:r>
      <w:r>
        <w:t xml:space="preserve">Platform</w:t>
      </w:r>
    </w:p>
    <w:p>
      <w:pPr>
        <w:pStyle w:val="Author"/>
      </w:pPr>
      <w:r>
        <w:t xml:space="preserve">Ezgi Gulcay</w:t>
      </w:r>
      <w:r>
        <w:rPr>
          <w:vertAlign w:val="superscript"/>
        </w:rPr>
        <w:t xml:space="preserve">*</w:t>
      </w:r>
      <w:r>
        <w:rPr>
          <w:vertAlign w:val="superscript"/>
        </w:rPr>
        <w:t xml:space="preserve">,</w:t>
      </w:r>
      <w:r>
        <w:rPr>
          <w:vertAlign w:val="superscript"/>
        </w:rPr>
        <w:t xml:space="preserve">1</w:t>
      </w:r>
      <w:r>
        <w:t xml:space="preserve">,</w:t>
      </w:r>
      <w:r>
        <w:t xml:space="preserve"> </w:t>
      </w:r>
      <w:r>
        <w:t xml:space="preserve">Paul Iacomi</w:t>
      </w:r>
      <w:r>
        <w:rPr>
          <w:vertAlign w:val="superscript"/>
        </w:rPr>
        <w:t xml:space="preserve">*</w:t>
      </w:r>
      <w:r>
        <w:rPr>
          <w:vertAlign w:val="superscript"/>
        </w:rPr>
        <w:t xml:space="preserve">,</w:t>
      </w:r>
      <w:r>
        <w:rPr>
          <w:vertAlign w:val="superscript"/>
        </w:rPr>
        <w:t xml:space="preserve">1</w:t>
      </w:r>
      <w:r>
        <w:t xml:space="preserve">,</w:t>
      </w:r>
      <w:r>
        <w:t xml:space="preserve"> </w:t>
      </w:r>
      <w:r>
        <w:t xml:space="preserve">Youngsang Ko</w:t>
      </w:r>
      <w:r>
        <w:rPr>
          <w:vertAlign w:val="superscript"/>
        </w:rPr>
        <w:t xml:space="preserve">2</w:t>
      </w:r>
      <w:r>
        <w:t xml:space="preserve">,</w:t>
      </w:r>
      <w:r>
        <w:t xml:space="preserve"> </w:t>
      </w:r>
      <w:r>
        <w:t xml:space="preserve">Jong-San Chang</w:t>
      </w:r>
      <w:r>
        <w:rPr>
          <w:vertAlign w:val="superscript"/>
        </w:rPr>
        <w:t xml:space="preserve">2</w:t>
      </w:r>
      <w:r>
        <w:t xml:space="preserve">,</w:t>
      </w:r>
      <w:r>
        <w:t xml:space="preserve"> </w:t>
      </w:r>
      <w:r>
        <w:t xml:space="preserve">Guillaume Rioland</w:t>
      </w:r>
      <w:r>
        <w:rPr>
          <w:vertAlign w:val="superscript"/>
        </w:rPr>
        <w:t xml:space="preserve">3</w:t>
      </w:r>
      <w:r>
        <w:t xml:space="preserve">,</w:t>
      </w:r>
      <w:r>
        <w:t xml:space="preserve"> </w:t>
      </w:r>
      <w:r>
        <w:t xml:space="preserve">Sabine Devautour</w:t>
      </w:r>
      <w:r>
        <w:rPr>
          <w:vertAlign w:val="superscript"/>
        </w:rPr>
        <w:t xml:space="preserve">1</w:t>
      </w:r>
      <w:r>
        <w:t xml:space="preserve">,</w:t>
      </w:r>
      <w:r>
        <w:t xml:space="preserve"> </w:t>
      </w:r>
      <w:r>
        <w:t xml:space="preserve">and</w:t>
      </w:r>
      <w:r>
        <w:t xml:space="preserve"> </w:t>
      </w:r>
      <w:r>
        <w:t xml:space="preserve">Guillaume Maurin</w:t>
      </w:r>
      <w:r>
        <w:rPr>
          <w:vertAlign w:val="superscript"/>
        </w:rPr>
        <w:t xml:space="preserve">1</w:t>
      </w:r>
      <w:r>
        <w:rPr>
          <w:vertAlign w:val="superscript"/>
        </w:rPr>
        <w:t xml:space="preserve">,</w:t>
      </w:r>
      <w:r>
        <w:rPr>
          <w:vertAlign w:val="superscript"/>
        </w:rPr>
        <w:t xml:space="preserve">✉</w:t>
      </w:r>
    </w:p>
    <w:p>
      <w:pPr>
        <w:pStyle w:val="Abstract"/>
      </w:pPr>
      <w:r>
        <w:t xml:space="preserve">Biogas,</w:t>
      </w:r>
      <w:r>
        <w:t xml:space="preserve"> </w:t>
      </w:r>
      <w:r>
        <w:t xml:space="preserve">regarded</w:t>
      </w:r>
      <w:r>
        <w:t xml:space="preserve"> </w:t>
      </w:r>
      <w:r>
        <w:t xml:space="preserve">as</w:t>
      </w:r>
      <w:r>
        <w:t xml:space="preserve"> </w:t>
      </w:r>
      <w:r>
        <w:t xml:space="preserve">a</w:t>
      </w:r>
      <w:r>
        <w:t xml:space="preserve"> </w:t>
      </w:r>
      <w:r>
        <w:t xml:space="preserve">promising</w:t>
      </w:r>
      <w:r>
        <w:t xml:space="preserve"> </w:t>
      </w:r>
      <w:r>
        <w:t xml:space="preserve">renewable</w:t>
      </w:r>
      <w:r>
        <w:t xml:space="preserve"> </w:t>
      </w:r>
      <w:r>
        <w:t xml:space="preserve">energy</w:t>
      </w:r>
      <w:r>
        <w:t xml:space="preserve"> </w:t>
      </w:r>
      <w:r>
        <w:t xml:space="preserve">source,</w:t>
      </w:r>
      <w:r>
        <w:t xml:space="preserve"> </w:t>
      </w:r>
      <w:r>
        <w:t xml:space="preserve">still</w:t>
      </w:r>
      <w:r>
        <w:t xml:space="preserve"> </w:t>
      </w:r>
      <w:r>
        <w:t xml:space="preserve">needs</w:t>
      </w:r>
      <w:r>
        <w:t xml:space="preserve"> </w:t>
      </w:r>
      <w:r>
        <w:t xml:space="preserve">to</w:t>
      </w:r>
      <w:r>
        <w:t xml:space="preserve"> </w:t>
      </w:r>
      <w:r>
        <w:t xml:space="preserve">be</w:t>
      </w:r>
      <w:r>
        <w:t xml:space="preserve"> </w:t>
      </w:r>
      <w:r>
        <w:t xml:space="preserve">upgraded.</w:t>
      </w:r>
      <w:r>
        <w:t xml:space="preserve"> </w:t>
      </w:r>
      <w:r>
        <w:t xml:space="preserve">This</w:t>
      </w:r>
      <w:r>
        <w:t xml:space="preserve"> </w:t>
      </w:r>
      <w:r>
        <w:t xml:space="preserve">calls</w:t>
      </w:r>
      <w:r>
        <w:t xml:space="preserve"> </w:t>
      </w:r>
      <w:r>
        <w:t xml:space="preserve">for</w:t>
      </w:r>
      <w:r>
        <w:t xml:space="preserve"> </w:t>
      </w:r>
      <w:r>
        <w:t xml:space="preserve">the</w:t>
      </w:r>
      <w:r>
        <w:t xml:space="preserve"> </w:t>
      </w:r>
      <w:r>
        <w:t xml:space="preserve">removal</w:t>
      </w:r>
      <w:r>
        <w:t xml:space="preserve"> </w:t>
      </w:r>
      <w:r>
        <w:t xml:space="preserve">of</w:t>
      </w:r>
      <w:r>
        <w:t xml:space="preserve"> </w:t>
      </w:r>
      <w:r>
        <w:t xml:space="preserve">the</w:t>
      </w:r>
      <w:r>
        <w:t xml:space="preserve"> </w:t>
      </w:r>
      <w:r>
        <w:t xml:space="preserve">most</w:t>
      </w:r>
      <w:r>
        <w:t xml:space="preserve"> </w:t>
      </w:r>
      <w:r>
        <w:t xml:space="preserve">prominent</w:t>
      </w:r>
      <w:r>
        <w:t xml:space="preserve"> </w:t>
      </w:r>
      <w:r>
        <w:t xml:space="preserve">contaminants,</w:t>
      </w:r>
      <w:r>
        <w:t xml:space="preserve"> </w:t>
      </w:r>
      <w:r>
        <w:t xml:space="preserve">among</w:t>
      </w:r>
      <w:r>
        <w:t xml:space="preserve"> </w:t>
      </w:r>
      <w:r>
        <w:t xml:space="preserve">others</w:t>
      </w:r>
      <w:r>
        <w:t xml:space="preserve"> </w:t>
      </w:r>
      <w:r>
        <w:t xml:space="preserve">the</w:t>
      </w:r>
      <w:r>
        <w:t xml:space="preserve"> </w:t>
      </w:r>
      <w:r>
        <w:t xml:space="preserve">octamethylcyclotetrasiloxane</w:t>
      </w:r>
      <w:r>
        <w:t xml:space="preserve"> </w:t>
      </w:r>
      <w:r>
        <w:t xml:space="preserve">(D4)</w:t>
      </w:r>
      <w:r>
        <w:t xml:space="preserve"> </w:t>
      </w:r>
      <w:r>
        <w:t xml:space="preserve">molecule.</w:t>
      </w:r>
      <w:r>
        <w:t xml:space="preserve"> </w:t>
      </w:r>
      <w:r>
        <w:t xml:space="preserve">Herein,</w:t>
      </w:r>
      <w:r>
        <w:t xml:space="preserve"> </w:t>
      </w:r>
      <w:r>
        <w:t xml:space="preserve">high</w:t>
      </w:r>
      <w:r>
        <w:t xml:space="preserve"> </w:t>
      </w:r>
      <w:r>
        <w:t xml:space="preserve">throughput</w:t>
      </w:r>
      <w:r>
        <w:t xml:space="preserve"> </w:t>
      </w:r>
      <w:r>
        <w:t xml:space="preserve">computational</w:t>
      </w:r>
      <w:r>
        <w:t xml:space="preserve"> </w:t>
      </w:r>
      <w:r>
        <w:t xml:space="preserve">screening</w:t>
      </w:r>
      <w:r>
        <w:t xml:space="preserve"> </w:t>
      </w:r>
      <w:r>
        <w:t xml:space="preserve">in</w:t>
      </w:r>
      <w:r>
        <w:t xml:space="preserve"> </w:t>
      </w:r>
      <w:r>
        <w:t xml:space="preserve">tandem</w:t>
      </w:r>
      <w:r>
        <w:t xml:space="preserve"> </w:t>
      </w:r>
      <w:r>
        <w:t xml:space="preserve">with</w:t>
      </w:r>
      <w:r>
        <w:t xml:space="preserve"> </w:t>
      </w:r>
      <w:r>
        <w:t xml:space="preserve">synthesis</w:t>
      </w:r>
      <w:r>
        <w:t xml:space="preserve"> </w:t>
      </w:r>
      <w:r>
        <w:t xml:space="preserve">and</w:t>
      </w:r>
      <w:r>
        <w:t xml:space="preserve"> </w:t>
      </w:r>
      <w:r>
        <w:t xml:space="preserve">adsorption</w:t>
      </w:r>
      <w:r>
        <w:t xml:space="preserve"> </w:t>
      </w:r>
      <w:r>
        <w:t xml:space="preserve">testing</w:t>
      </w:r>
      <w:r>
        <w:t xml:space="preserve"> </w:t>
      </w:r>
      <w:r>
        <w:t xml:space="preserve">revealed</w:t>
      </w:r>
      <w:r>
        <w:t xml:space="preserve"> </w:t>
      </w:r>
      <w:r>
        <w:t xml:space="preserve">the</w:t>
      </w:r>
      <w:r>
        <w:t xml:space="preserve"> </w:t>
      </w:r>
      <w:r>
        <w:t xml:space="preserve">hydrophobic</w:t>
      </w:r>
      <w:r>
        <w:t xml:space="preserve"> </w:t>
      </w:r>
      <w:r>
        <w:t xml:space="preserve">Zr-MOF</w:t>
      </w:r>
      <w:r>
        <w:t xml:space="preserve"> </w:t>
      </w:r>
      <w:r>
        <w:t xml:space="preserve">PCN-777</w:t>
      </w:r>
      <w:r>
        <w:t xml:space="preserve"> </w:t>
      </w:r>
      <w:r>
        <w:t xml:space="preserve">as</w:t>
      </w:r>
      <w:r>
        <w:t xml:space="preserve"> </w:t>
      </w:r>
      <w:r>
        <w:t xml:space="preserve">an</w:t>
      </w:r>
      <w:r>
        <w:t xml:space="preserve"> </w:t>
      </w:r>
      <w:r>
        <w:t xml:space="preserve">optimal</w:t>
      </w:r>
      <w:r>
        <w:t xml:space="preserve"> </w:t>
      </w:r>
      <w:r>
        <w:t xml:space="preserve">D4</w:t>
      </w:r>
      <w:r>
        <w:t xml:space="preserve"> </w:t>
      </w:r>
      <w:r>
        <w:t xml:space="preserve">adsorbent</w:t>
      </w:r>
      <w:r>
        <w:t xml:space="preserve"> </w:t>
      </w:r>
      <w:r>
        <w:t xml:space="preserve">with</w:t>
      </w:r>
      <w:r>
        <w:t xml:space="preserve"> </w:t>
      </w:r>
      <w:r>
        <w:t xml:space="preserve">record</w:t>
      </w:r>
      <w:r>
        <w:t xml:space="preserve"> </w:t>
      </w:r>
      <w:r>
        <w:t xml:space="preserve">gravimetric</w:t>
      </w:r>
      <w:r>
        <w:t xml:space="preserve"> </w:t>
      </w:r>
      <w:r>
        <w:t xml:space="preserve">(1.8 g/g)</w:t>
      </w:r>
      <w:r>
        <w:t xml:space="preserve"> </w:t>
      </w:r>
      <w:r>
        <w:t xml:space="preserve">and</w:t>
      </w:r>
      <w:r>
        <w:t xml:space="preserve"> </w:t>
      </w:r>
      <w:r>
        <w:t xml:space="preserve">volumetric</w:t>
      </w:r>
      <w:r>
        <w:t xml:space="preserve"> </w:t>
      </w:r>
      <w:r>
        <w:t xml:space="preserve">(0.49 g/cm</w:t>
      </w:r>
      <w:r>
        <w:rPr>
          <w:vertAlign w:val="superscript"/>
        </w:rPr>
        <w:t xml:space="preserve">3</w:t>
      </w:r>
      <w:r>
        <w:t xml:space="preserve">)</w:t>
      </w:r>
      <w:r>
        <w:t xml:space="preserve"> </w:t>
      </w:r>
      <w:r>
        <w:t xml:space="preserve">uptakes,</w:t>
      </w:r>
      <w:r>
        <w:t xml:space="preserve"> </w:t>
      </w:r>
      <w:r>
        <w:t xml:space="preserve">alongside</w:t>
      </w:r>
      <w:r>
        <w:t xml:space="preserve"> </w:t>
      </w:r>
      <w:r>
        <w:t xml:space="preserve">a</w:t>
      </w:r>
      <w:r>
        <w:t xml:space="preserve"> </w:t>
      </w:r>
      <w:r>
        <w:t xml:space="preserve">reversible</w:t>
      </w:r>
      <w:r>
        <w:t xml:space="preserve"> </w:t>
      </w:r>
      <w:r>
        <w:t xml:space="preserve">and</w:t>
      </w:r>
      <w:r>
        <w:t xml:space="preserve"> </w:t>
      </w:r>
      <w:r>
        <w:t xml:space="preserve">fast</w:t>
      </w:r>
      <w:r>
        <w:t xml:space="preserve"> </w:t>
      </w:r>
      <w:r>
        <w:t xml:space="preserve">adsorption/desorption</w:t>
      </w:r>
      <w:r>
        <w:t xml:space="preserve"> </w:t>
      </w:r>
      <w:r>
        <w:t xml:space="preserve">process,</w:t>
      </w:r>
      <w:r>
        <w:t xml:space="preserve"> </w:t>
      </w:r>
      <w:r>
        <w:t xml:space="preserve">good</w:t>
      </w:r>
      <w:r>
        <w:t xml:space="preserve"> </w:t>
      </w:r>
      <w:r>
        <w:t xml:space="preserve">cyclability</w:t>
      </w:r>
      <w:r>
        <w:t xml:space="preserve"> </w:t>
      </w:r>
      <w:r>
        <w:t xml:space="preserve">and</w:t>
      </w:r>
      <w:r>
        <w:t xml:space="preserve"> </w:t>
      </w:r>
      <w:r>
        <w:t xml:space="preserve">easy</w:t>
      </w:r>
      <w:r>
        <w:t xml:space="preserve"> </w:t>
      </w:r>
      <w:r>
        <w:t xml:space="preserve">regeneration.</w:t>
      </w:r>
      <w:r>
        <w:t xml:space="preserve"> </w:t>
      </w:r>
      <w:r>
        <w:t xml:space="preserve">This</w:t>
      </w:r>
      <w:r>
        <w:t xml:space="preserve"> </w:t>
      </w:r>
      <w:r>
        <w:t xml:space="preserve">MOF</w:t>
      </w:r>
      <w:r>
        <w:t xml:space="preserve"> </w:t>
      </w:r>
      <w:r>
        <w:t xml:space="preserve">was</w:t>
      </w:r>
      <w:r>
        <w:t xml:space="preserve"> </w:t>
      </w:r>
      <w:r>
        <w:t xml:space="preserve">demonstrated</w:t>
      </w:r>
      <w:r>
        <w:t xml:space="preserve"> </w:t>
      </w:r>
      <w:r>
        <w:t xml:space="preserve">to</w:t>
      </w:r>
      <w:r>
        <w:t xml:space="preserve"> </w:t>
      </w:r>
      <w:r>
        <w:t xml:space="preserve">encompass</w:t>
      </w:r>
      <w:r>
        <w:t xml:space="preserve"> </w:t>
      </w:r>
      <w:r>
        <w:t xml:space="preserve">an</w:t>
      </w:r>
      <w:r>
        <w:t xml:space="preserve"> </w:t>
      </w:r>
      <w:r>
        <w:t xml:space="preserve">ideal</w:t>
      </w:r>
      <w:r>
        <w:t xml:space="preserve"> </w:t>
      </w:r>
      <w:r>
        <w:t xml:space="preserve">combination</w:t>
      </w:r>
      <w:r>
        <w:t xml:space="preserve"> </w:t>
      </w:r>
      <w:r>
        <w:t xml:space="preserve">of</w:t>
      </w:r>
      <w:r>
        <w:t xml:space="preserve"> </w:t>
      </w:r>
      <w:r>
        <w:t xml:space="preserve">mesoporous</w:t>
      </w:r>
      <w:r>
        <w:t xml:space="preserve"> </w:t>
      </w:r>
      <w:r>
        <w:t xml:space="preserve">cages</w:t>
      </w:r>
      <w:r>
        <w:t xml:space="preserve"> </w:t>
      </w:r>
      <w:r>
        <w:t xml:space="preserve">and</w:t>
      </w:r>
      <w:r>
        <w:t xml:space="preserve"> </w:t>
      </w:r>
      <w:r>
        <w:t xml:space="preserve">chemical</w:t>
      </w:r>
      <w:r>
        <w:t xml:space="preserve"> </w:t>
      </w:r>
      <w:r>
        <w:t xml:space="preserve">functionality</w:t>
      </w:r>
      <w:r>
        <w:t xml:space="preserve"> </w:t>
      </w:r>
      <w:r>
        <w:t xml:space="preserve">to</w:t>
      </w:r>
      <w:r>
        <w:t xml:space="preserve"> </w:t>
      </w:r>
      <w:r>
        <w:t xml:space="preserve">enable</w:t>
      </w:r>
      <w:r>
        <w:t xml:space="preserve"> </w:t>
      </w:r>
      <w:r>
        <w:t xml:space="preserve">an</w:t>
      </w:r>
      <w:r>
        <w:t xml:space="preserve"> </w:t>
      </w:r>
      <w:r>
        <w:t xml:space="preserve">optimal</w:t>
      </w:r>
      <w:r>
        <w:t xml:space="preserve"> </w:t>
      </w:r>
      <w:r>
        <w:t xml:space="preserve">packing</w:t>
      </w:r>
      <w:r>
        <w:t xml:space="preserve"> </w:t>
      </w:r>
      <w:r>
        <w:t xml:space="preserve">of</w:t>
      </w:r>
      <w:r>
        <w:t xml:space="preserve"> </w:t>
      </w:r>
      <w:r>
        <w:t xml:space="preserve">the</w:t>
      </w:r>
      <w:r>
        <w:t xml:space="preserve"> </w:t>
      </w:r>
      <w:r>
        <w:t xml:space="preserve">siloxane</w:t>
      </w:r>
      <w:r>
        <w:t xml:space="preserve"> </w:t>
      </w:r>
      <w:r>
        <w:t xml:space="preserve">molecules</w:t>
      </w:r>
      <w:r>
        <w:t xml:space="preserve"> </w:t>
      </w:r>
      <w:r>
        <w:t xml:space="preserve">and</w:t>
      </w:r>
      <w:r>
        <w:t xml:space="preserve"> </w:t>
      </w:r>
      <w:r>
        <w:t xml:space="preserve">their</w:t>
      </w:r>
      <w:r>
        <w:t xml:space="preserve"> </w:t>
      </w:r>
      <w:r>
        <w:t xml:space="preserve">efficient</w:t>
      </w:r>
      <w:r>
        <w:t xml:space="preserve"> </w:t>
      </w:r>
      <w:r>
        <w:t xml:space="preserve">removal</w:t>
      </w:r>
      <w:r>
        <w:t xml:space="preserve"> </w:t>
      </w:r>
      <w:r>
        <w:t xml:space="preserve">while</w:t>
      </w:r>
      <w:r>
        <w:t xml:space="preserve"> </w:t>
      </w:r>
      <w:r>
        <w:t xml:space="preserve">maintaining</w:t>
      </w:r>
      <w:r>
        <w:t xml:space="preserve"> </w:t>
      </w:r>
      <w:r>
        <w:t xml:space="preserve">the</w:t>
      </w:r>
      <w:r>
        <w:t xml:space="preserve"> </w:t>
      </w:r>
      <w:r>
        <w:t xml:space="preserve">process</w:t>
      </w:r>
      <w:r>
        <w:t xml:space="preserve"> </w:t>
      </w:r>
      <w:r>
        <w:t xml:space="preserve">highly</w:t>
      </w:r>
      <w:r>
        <w:t xml:space="preserve"> </w:t>
      </w:r>
      <w:r>
        <w:t xml:space="preserve">reversible</w:t>
      </w:r>
      <w:r>
        <w:t xml:space="preserve"> </w:t>
      </w:r>
      <w:r>
        <w:t xml:space="preserve">thanks</w:t>
      </w:r>
      <w:r>
        <w:t xml:space="preserve"> </w:t>
      </w:r>
      <w:r>
        <w:t xml:space="preserve">to</w:t>
      </w:r>
      <w:r>
        <w:t xml:space="preserve"> </w:t>
      </w:r>
      <w:r>
        <w:t xml:space="preserve">moderately</w:t>
      </w:r>
      <w:r>
        <w:t xml:space="preserve"> </w:t>
      </w:r>
      <w:r>
        <w:t xml:space="preserve">high</w:t>
      </w:r>
      <w:r>
        <w:t xml:space="preserve"> </w:t>
      </w:r>
      <w:r>
        <w:t xml:space="preserve">host/guest</w:t>
      </w:r>
      <w:r>
        <w:t xml:space="preserve"> </w:t>
      </w:r>
      <w:r>
        <w:t xml:space="preserve">interactions.</w:t>
      </w:r>
      <w:r>
        <w:t xml:space="preserve"> </w:t>
      </w:r>
      <w:r>
        <w:t xml:space="preserve">This</w:t>
      </w:r>
      <w:r>
        <w:t xml:space="preserve"> </w:t>
      </w:r>
      <w:r>
        <w:t xml:space="preserve">work</w:t>
      </w:r>
      <w:r>
        <w:t xml:space="preserve"> </w:t>
      </w:r>
      <w:r>
        <w:t xml:space="preserve">highlights</w:t>
      </w:r>
      <w:r>
        <w:t xml:space="preserve"> </w:t>
      </w:r>
      <w:r>
        <w:t xml:space="preserve">the</w:t>
      </w:r>
      <w:r>
        <w:t xml:space="preserve"> </w:t>
      </w:r>
      <w:r>
        <w:t xml:space="preserve">efficacy</w:t>
      </w:r>
      <w:r>
        <w:t xml:space="preserve"> </w:t>
      </w:r>
      <w:r>
        <w:t xml:space="preserve">of</w:t>
      </w:r>
      <w:r>
        <w:t xml:space="preserve"> </w:t>
      </w:r>
      <w:r>
        <w:t xml:space="preserve">an</w:t>
      </w:r>
      <w:r>
        <w:t xml:space="preserve"> </w:t>
      </w:r>
      <w:r>
        <w:t xml:space="preserve">integrated</w:t>
      </w:r>
      <w:r>
        <w:t xml:space="preserve"> </w:t>
      </w:r>
      <w:r>
        <w:t xml:space="preserve">workflow</w:t>
      </w:r>
      <w:r>
        <w:t xml:space="preserve"> </w:t>
      </w:r>
      <w:r>
        <w:t xml:space="preserve">for</w:t>
      </w:r>
      <w:r>
        <w:t xml:space="preserve"> </w:t>
      </w:r>
      <w:r>
        <w:t xml:space="preserve">accelerating</w:t>
      </w:r>
      <w:r>
        <w:t xml:space="preserve"> </w:t>
      </w:r>
      <w:r>
        <w:t xml:space="preserve">adsorbent</w:t>
      </w:r>
      <w:r>
        <w:t xml:space="preserve"> </w:t>
      </w:r>
      <w:r>
        <w:t xml:space="preserve">selection</w:t>
      </w:r>
      <w:r>
        <w:t xml:space="preserve"> </w:t>
      </w:r>
      <w:r>
        <w:t xml:space="preserve">for</w:t>
      </w:r>
      <w:r>
        <w:t xml:space="preserve"> </w:t>
      </w:r>
      <w:r>
        <w:t xml:space="preserve">a</w:t>
      </w:r>
      <w:r>
        <w:t xml:space="preserve"> </w:t>
      </w:r>
      <w:r>
        <w:t xml:space="preserve">desired</w:t>
      </w:r>
      <w:r>
        <w:t xml:space="preserve"> </w:t>
      </w:r>
      <w:r>
        <w:t xml:space="preserve">application,</w:t>
      </w:r>
      <w:r>
        <w:t xml:space="preserve"> </w:t>
      </w:r>
      <w:r>
        <w:t xml:space="preserve">spanning</w:t>
      </w:r>
      <w:r>
        <w:t xml:space="preserve"> </w:t>
      </w:r>
      <w:r>
        <w:t xml:space="preserve">the</w:t>
      </w:r>
      <w:r>
        <w:t xml:space="preserve"> </w:t>
      </w:r>
      <w:r>
        <w:t xml:space="preserve">entire</w:t>
      </w:r>
      <w:r>
        <w:t xml:space="preserve"> </w:t>
      </w:r>
      <w:r>
        <w:t xml:space="preserve">pipeline</w:t>
      </w:r>
      <w:r>
        <w:t xml:space="preserve"> </w:t>
      </w:r>
      <w:r>
        <w:t xml:space="preserve">from</w:t>
      </w:r>
      <w:r>
        <w:t xml:space="preserve"> </w:t>
      </w:r>
      <w:r>
        <w:t xml:space="preserve">method</w:t>
      </w:r>
      <w:r>
        <w:t xml:space="preserve"> </w:t>
      </w:r>
      <w:r>
        <w:t xml:space="preserve">validation</w:t>
      </w:r>
      <w:r>
        <w:t xml:space="preserve"> </w:t>
      </w:r>
      <w:r>
        <w:t xml:space="preserve">to</w:t>
      </w:r>
      <w:r>
        <w:t xml:space="preserve"> </w:t>
      </w:r>
      <w:r>
        <w:t xml:space="preserve">computational</w:t>
      </w:r>
      <w:r>
        <w:t xml:space="preserve"> </w:t>
      </w:r>
      <w:r>
        <w:t xml:space="preserve">screening,</w:t>
      </w:r>
      <w:r>
        <w:t xml:space="preserve"> </w:t>
      </w:r>
      <w:r>
        <w:t xml:space="preserve">synthesis</w:t>
      </w:r>
      <w:r>
        <w:t xml:space="preserve"> </w:t>
      </w:r>
      <w:r>
        <w:t xml:space="preserve">and</w:t>
      </w:r>
      <w:r>
        <w:t xml:space="preserve"> </w:t>
      </w:r>
      <w:r>
        <w:t xml:space="preserve">adsorption</w:t>
      </w:r>
      <w:r>
        <w:t xml:space="preserve"> </w:t>
      </w:r>
      <w:r>
        <w:t xml:space="preserve">testing</w:t>
      </w:r>
      <w:r>
        <w:t xml:space="preserve"> </w:t>
      </w:r>
      <w:r>
        <w:t xml:space="preserve">towards</w:t>
      </w:r>
      <w:r>
        <w:t xml:space="preserve"> </w:t>
      </w:r>
      <w:r>
        <w:t xml:space="preserve">the</w:t>
      </w:r>
      <w:r>
        <w:t xml:space="preserve"> </w:t>
      </w:r>
      <w:r>
        <w:t xml:space="preserve">identification</w:t>
      </w:r>
      <w:r>
        <w:t xml:space="preserve"> </w:t>
      </w:r>
      <w:r>
        <w:t xml:space="preserve">of</w:t>
      </w:r>
      <w:r>
        <w:t xml:space="preserve"> </w:t>
      </w:r>
      <w:r>
        <w:t xml:space="preserve">the</w:t>
      </w:r>
      <w:r>
        <w:t xml:space="preserve"> </w:t>
      </w:r>
      <w:r>
        <w:t xml:space="preserve">optimal</w:t>
      </w:r>
      <w:r>
        <w:t xml:space="preserve"> </w:t>
      </w:r>
      <w:r>
        <w:t xml:space="preserve">adsorbents.</w:t>
      </w:r>
    </w:p>
    <w:p>
      <w:pPr>
        <w:pStyle w:val="FirstParagraph"/>
      </w:pPr>
      <w:r>
        <w:rPr>
          <w:vertAlign w:val="superscript"/>
        </w:rPr>
        <w:t xml:space="preserve">*</w:t>
      </w:r>
      <w:r>
        <w:t xml:space="preserve"> </w:t>
      </w:r>
      <w:r>
        <w:t xml:space="preserve">These authors contributed equally to this work.</w:t>
      </w:r>
    </w:p>
    <w:p>
      <w:pPr>
        <w:pStyle w:val="BodyText"/>
      </w:pPr>
      <w:r>
        <w:rPr>
          <w:vertAlign w:val="superscript"/>
        </w:rPr>
        <w:t xml:space="preserve">1</w:t>
      </w:r>
      <w:r>
        <w:t xml:space="preserve"> </w:t>
      </w:r>
      <w:r>
        <w:t xml:space="preserve">ICGM, Univ. Montpellier, CNRS, ENSCM, F-34095 Montpellier, France</w:t>
      </w:r>
      <w:r>
        <w:br/>
      </w:r>
      <w:r>
        <w:rPr>
          <w:vertAlign w:val="superscript"/>
        </w:rPr>
        <w:t xml:space="preserve">2</w:t>
      </w:r>
      <w:r>
        <w:t xml:space="preserve"> </w:t>
      </w:r>
      <w:r>
        <w:t xml:space="preserve">Research Group for Nanocatalyst (RGN) and ConvergentCenter for Chemical Process (CCP), Korea Research Institute of ChemicalTechnology (KRICT), Gajeong-ro 141, Yuseong-gu, Daejeon 34114, South Korea</w:t>
      </w:r>
      <w:r>
        <w:br/>
      </w:r>
      <w:r>
        <w:rPr>
          <w:vertAlign w:val="superscript"/>
        </w:rPr>
        <w:t xml:space="preserve">3</w:t>
      </w:r>
      <w:r>
        <w:t xml:space="preserve"> </w:t>
      </w:r>
      <w:r>
        <w:t xml:space="preserve">Centre National d’Etudes Spatiales, DSO/AQ/LE, 18 AvenueEdouard Belin, 31401 Toulouse, Cedex 09, France</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Guillaume Maurin &lt;guillaume.maurin1@umontpellier.fr&gt;</w:t>
        </w:r>
      </w:hyperlink>
    </w:p>
    <w:bookmarkStart w:id="23" w:name="introduction"/>
    <w:p>
      <w:pPr>
        <w:pStyle w:val="Heading1"/>
      </w:pPr>
      <w:r>
        <w:t xml:space="preserve">Introduction</w:t>
      </w:r>
    </w:p>
    <w:p>
      <w:pPr>
        <w:pStyle w:val="FirstParagraph"/>
      </w:pPr>
      <w:r>
        <w:t xml:space="preserve">Biogas capture from landfill sites or wastewater treatment plants is identified as an appealing</w:t>
      </w:r>
      <w:r>
        <w:t xml:space="preserve"> </w:t>
      </w:r>
      <w:r>
        <w:t xml:space="preserve">strategy to procure a renewable energy fuel, simultaneously promoting a reduction in greenhouse gas</w:t>
      </w:r>
      <w:r>
        <w:t xml:space="preserve"> </w:t>
      </w:r>
      <w:r>
        <w:t xml:space="preserve">emissions and an increase in waste treatment profitability</w:t>
      </w:r>
      <w:r>
        <w:t xml:space="preserve"> </w:t>
      </w:r>
      <w:hyperlink w:anchor="Xb895b7cd6eb46547d60a99f5840d98f222af371">
        <w:r>
          <w:rPr>
            <w:rStyle w:val="Hyperlink"/>
          </w:rPr>
          <w:t xml:space="preserve">[1]</w:t>
        </w:r>
      </w:hyperlink>
      <w:r>
        <w:t xml:space="preserve">. The use of biogas as an energy green resource critically</w:t>
      </w:r>
      <w:r>
        <w:t xml:space="preserve"> </w:t>
      </w:r>
      <w:r>
        <w:t xml:space="preserve">calls for a substantial increase of its</w:t>
      </w:r>
      <w:r>
        <w:t xml:space="preserve"> </w:t>
      </w:r>
      <m:oMath>
        <m:r>
          <m:t>C</m:t>
        </m:r>
        <m:r>
          <m:t>H</m:t>
        </m:r>
        <m:r>
          <m:t>4</m:t>
        </m:r>
      </m:oMath>
      <w:r>
        <w:t xml:space="preserve"> </w:t>
      </w:r>
      <w:r>
        <w:t xml:space="preserve">quality by removing gaseous and vapour impurities</w:t>
      </w:r>
      <w:r>
        <w:t xml:space="preserve"> </w:t>
      </w:r>
      <w:r>
        <w:t xml:space="preserve">resulting from anaerobic digestion processes</w:t>
      </w:r>
      <w:r>
        <w:t xml:space="preserve"> </w:t>
      </w:r>
      <w:hyperlink w:anchor="Xb895b7cd6eb46547d60a99f5840d98f222af371">
        <w:r>
          <w:rPr>
            <w:rStyle w:val="Hyperlink"/>
          </w:rPr>
          <w:t xml:space="preserve">[1]</w:t>
        </w:r>
      </w:hyperlink>
      <w:r>
        <w:t xml:space="preserve">. One</w:t>
      </w:r>
      <w:r>
        <w:t xml:space="preserve"> </w:t>
      </w:r>
      <w:r>
        <w:t xml:space="preserve">prominent class of biogas impurities are the linear (denoted</w:t>
      </w:r>
      <w:r>
        <w:t xml:space="preserve"> </w:t>
      </w:r>
      <w:r>
        <w:t xml:space="preserve">“</w:t>
      </w:r>
      <w:r>
        <w:t xml:space="preserve">L</w:t>
      </w:r>
      <w:r>
        <w:t xml:space="preserve">”</w:t>
      </w:r>
      <w:r>
        <w:t xml:space="preserve">) and cyclic (denoted</w:t>
      </w:r>
      <w:r>
        <w:t xml:space="preserve"> </w:t>
      </w:r>
      <w:r>
        <w:t xml:space="preserve">“</w:t>
      </w:r>
      <w:r>
        <w:t xml:space="preserve">D</w:t>
      </w:r>
      <w:r>
        <w:t xml:space="preserve">”</w:t>
      </w:r>
      <w:r>
        <w:t xml:space="preserve">)</w:t>
      </w:r>
      <w:r>
        <w:t xml:space="preserve"> </w:t>
      </w:r>
      <w:r>
        <w:t xml:space="preserve">siloxanes, as degradation by-products of silicone polymers from packaging, construction, cosmetics,</w:t>
      </w:r>
      <w:r>
        <w:t xml:space="preserve"> </w:t>
      </w:r>
      <w:r>
        <w:t xml:space="preserve">and household items</w:t>
      </w:r>
      <w:r>
        <w:t xml:space="preserve"> </w:t>
      </w:r>
      <w:hyperlink w:anchor="Xdab991720caddf55f8593ec0f9d5ff97ed2a666">
        <w:r>
          <w:rPr>
            <w:rStyle w:val="Hyperlink"/>
          </w:rPr>
          <w:t xml:space="preserve">[2]</w:t>
        </w:r>
      </w:hyperlink>
      <w:r>
        <w:t xml:space="preserve">,</w:t>
      </w:r>
      <w:r>
        <w:t xml:space="preserve"> </w:t>
      </w:r>
      <w:hyperlink w:anchor="X5222bf6c37be902c3d76c38becbf40b048f18be">
        <w:r>
          <w:rPr>
            <w:rStyle w:val="Hyperlink"/>
          </w:rPr>
          <w:t xml:space="preserve">[3]</w:t>
        </w:r>
      </w:hyperlink>
      <w:r>
        <w:t xml:space="preserve">. This family</w:t>
      </w:r>
      <w:r>
        <w:t xml:space="preserve"> </w:t>
      </w:r>
      <w:r>
        <w:t xml:space="preserve">of molecules is also known to damage subsequent energy recovery systems, e.g. combustion engines,</w:t>
      </w:r>
      <w:r>
        <w:t xml:space="preserve"> </w:t>
      </w:r>
      <w:r>
        <w:t xml:space="preserve">fuel cells and steam reformers, via their decomposition into amorphous silica on heated surfaces</w:t>
      </w:r>
      <w:r>
        <w:t xml:space="preserve"> </w:t>
      </w:r>
      <w:r>
        <w:t xml:space="preserve">that leads to abrasive solid deposits on critical machinery, and to inactivation of gas reforming</w:t>
      </w:r>
      <w:r>
        <w:t xml:space="preserve"> </w:t>
      </w:r>
      <w:r>
        <w:t xml:space="preserve">catalysts</w:t>
      </w:r>
      <w:r>
        <w:t xml:space="preserve"> </w:t>
      </w:r>
      <w:hyperlink w:anchor="ref-wangRecentAdvancesTechnologies2019">
        <w:r>
          <w:rPr>
            <w:rStyle w:val="Hyperlink"/>
          </w:rPr>
          <w:t xml:space="preserve">[4]</w:t>
        </w:r>
      </w:hyperlink>
      <w:r>
        <w:t xml:space="preserve">. Octamethylcyclotetrasiloxane commonly labelled D4</w:t>
      </w:r>
      <w:r>
        <w:t xml:space="preserve"> </w:t>
      </w:r>
      <w:r>
        <w:t xml:space="preserve">is the most representative siloxane species present in biogas, which spans from 50 to 70% of the</w:t>
      </w:r>
      <w:r>
        <w:t xml:space="preserve"> </w:t>
      </w:r>
      <w:r>
        <w:t xml:space="preserve">total siloxane content due to its relatively low water solubility (56 μg/l) and its significant</w:t>
      </w:r>
      <w:r>
        <w:t xml:space="preserve"> </w:t>
      </w:r>
      <w:r>
        <w:t xml:space="preserve">vapour pressure (196 Pa at 303 K)</w:t>
      </w:r>
      <w:r>
        <w:t xml:space="preserve"> </w:t>
      </w:r>
      <w:hyperlink w:anchor="X5222bf6c37be902c3d76c38becbf40b048f18be">
        <w:r>
          <w:rPr>
            <w:rStyle w:val="Hyperlink"/>
          </w:rPr>
          <w:t xml:space="preserve">[3]</w:t>
        </w:r>
      </w:hyperlink>
      <w:r>
        <w:t xml:space="preserve">–</w:t>
      </w:r>
      <w:hyperlink w:anchor="ref-dewilEnergyUseBiogas2006">
        <w:r>
          <w:rPr>
            <w:rStyle w:val="Hyperlink"/>
          </w:rPr>
          <w:t xml:space="preserve">[5]</w:t>
        </w:r>
      </w:hyperlink>
      <w:r>
        <w:t xml:space="preserve">.</w:t>
      </w:r>
    </w:p>
    <w:p>
      <w:pPr>
        <w:pStyle w:val="BodyText"/>
      </w:pPr>
      <w:r>
        <w:t xml:space="preserve">Multiple technologies have been proposed to mitigate the presence of siloxanes in biogas outlet</w:t>
      </w:r>
      <w:r>
        <w:t xml:space="preserve"> </w:t>
      </w:r>
      <w:r>
        <w:t xml:space="preserve">streams, including mineral acid/base scrubbing, deep chilling, or iron oxide beds, often working in</w:t>
      </w:r>
      <w:r>
        <w:t xml:space="preserve"> </w:t>
      </w:r>
      <w:r>
        <w:t xml:space="preserve">tandem to remove other impurities</w:t>
      </w:r>
      <w:r>
        <w:t xml:space="preserve"> </w:t>
      </w:r>
      <w:hyperlink w:anchor="ref-kuhnRequirementsTechniquesCosts2017">
        <w:r>
          <w:rPr>
            <w:rStyle w:val="Hyperlink"/>
          </w:rPr>
          <w:t xml:space="preserve">[6]</w:t>
        </w:r>
      </w:hyperlink>
      <w:r>
        <w:t xml:space="preserve">. The physisorption-based</w:t>
      </w:r>
      <w:r>
        <w:t xml:space="preserve"> </w:t>
      </w:r>
      <w:r>
        <w:t xml:space="preserve">removal of D4 by porous filters is also a promising alternative, due to its relatively low potential</w:t>
      </w:r>
      <w:r>
        <w:t xml:space="preserve"> </w:t>
      </w:r>
      <w:r>
        <w:t xml:space="preserve">energetic cost, while avoiding the use of environmentally hazardous chemicals</w:t>
      </w:r>
      <w:r>
        <w:t xml:space="preserve"> </w:t>
      </w:r>
      <w:hyperlink w:anchor="ref-chinStatisticalAnalysisTrace2020">
        <w:r>
          <w:rPr>
            <w:rStyle w:val="Hyperlink"/>
          </w:rPr>
          <w:t xml:space="preserve">[7]</w:t>
        </w:r>
      </w:hyperlink>
      <w:r>
        <w:t xml:space="preserve">,</w:t>
      </w:r>
      <w:r>
        <w:t xml:space="preserve"> </w:t>
      </w:r>
      <w:hyperlink w:anchor="ref-ajharSiloxaneRemovalLandfill2010">
        <w:r>
          <w:rPr>
            <w:rStyle w:val="Hyperlink"/>
          </w:rPr>
          <w:t xml:space="preserve">[8]</w:t>
        </w:r>
      </w:hyperlink>
      <w:r>
        <w:t xml:space="preserve">. A variety of conventional</w:t>
      </w:r>
      <w:r>
        <w:t xml:space="preserve"> </w:t>
      </w:r>
      <w:r>
        <w:t xml:space="preserve">adsorbents has been envisaged for siloxane elimination, including activated carbons</w:t>
      </w:r>
      <w:r>
        <w:t xml:space="preserve"> </w:t>
      </w:r>
      <w:hyperlink w:anchor="Xbc6c8221d370e2ea8cfce6cbafa151b400e899f">
        <w:r>
          <w:rPr>
            <w:rStyle w:val="Hyperlink"/>
          </w:rPr>
          <w:t xml:space="preserve">[9]</w:t>
        </w:r>
      </w:hyperlink>
      <w:r>
        <w:t xml:space="preserve">, zeolites</w:t>
      </w:r>
      <w:r>
        <w:t xml:space="preserve"> </w:t>
      </w:r>
      <w:hyperlink w:anchor="X649bf568904a241bf6c96dcd23147c729eecf0f">
        <w:r>
          <w:rPr>
            <w:rStyle w:val="Hyperlink"/>
          </w:rPr>
          <w:t xml:space="preserve">[10]</w:t>
        </w:r>
      </w:hyperlink>
      <w:r>
        <w:t xml:space="preserve">, and silicas</w:t>
      </w:r>
      <w:r>
        <w:t xml:space="preserve"> </w:t>
      </w:r>
      <w:hyperlink w:anchor="Xc0c73a3ccc25e1900e09b18357f1c0418d5d787">
        <w:r>
          <w:rPr>
            <w:rStyle w:val="Hyperlink"/>
          </w:rPr>
          <w:t xml:space="preserve">[11]</w:t>
        </w:r>
      </w:hyperlink>
      <w:r>
        <w:t xml:space="preserve">. However, these materials suffer from several</w:t>
      </w:r>
      <w:r>
        <w:t xml:space="preserve"> </w:t>
      </w:r>
      <w:r>
        <w:t xml:space="preserve">drawbacks that limit their use, in particular insufficient uptake and/or incomplete regeneration</w:t>
      </w:r>
      <w:r>
        <w:t xml:space="preserve"> </w:t>
      </w:r>
      <w:r>
        <w:t xml:space="preserve">under standard conditions. Moreover, downstream biogas commonly contains a proportion of water,</w:t>
      </w:r>
      <w:r>
        <w:t xml:space="preserve"> </w:t>
      </w:r>
      <w:r>
        <w:t xml:space="preserve">which can compete with D4 sorption when using hydrophilic adsorbents</w:t>
      </w:r>
      <w:r>
        <w:t xml:space="preserve"> </w:t>
      </w:r>
      <w:hyperlink w:anchor="ref-kuhnRequirementsTechniquesCosts2017">
        <w:r>
          <w:rPr>
            <w:rStyle w:val="Hyperlink"/>
          </w:rPr>
          <w:t xml:space="preserve">[6]</w:t>
        </w:r>
      </w:hyperlink>
      <w:r>
        <w:t xml:space="preserve">,</w:t>
      </w:r>
      <w:r>
        <w:t xml:space="preserve"> </w:t>
      </w:r>
      <w:hyperlink w:anchor="Xdb1b7ae13ec8c9fa6a1af66ab0aad4754e90862">
        <w:r>
          <w:rPr>
            <w:rStyle w:val="Hyperlink"/>
          </w:rPr>
          <w:t xml:space="preserve">[12]</w:t>
        </w:r>
      </w:hyperlink>
      <w:r>
        <w:t xml:space="preserve">. Therefore,</w:t>
      </w:r>
      <w:r>
        <w:t xml:space="preserve"> </w:t>
      </w:r>
      <w:r>
        <w:t xml:space="preserve">finding a high capacity adsorbent capable of removing siloxanes under moderate humidity conditions</w:t>
      </w:r>
      <w:r>
        <w:t xml:space="preserve"> </w:t>
      </w:r>
      <w:r>
        <w:t xml:space="preserve">in a reversible manner remains a challenge.</w:t>
      </w:r>
    </w:p>
    <w:p>
      <w:pPr>
        <w:pStyle w:val="CaptionedFigure"/>
      </w:pPr>
      <w:bookmarkStart w:id="22" w:name="fig:overview"/>
      <w:r>
        <w:drawing>
          <wp:inline>
            <wp:extent cx="6311900" cy="4551609"/>
            <wp:effectExtent b="0" l="0" r="0" t="0"/>
            <wp:docPr descr="Figure 1: Workflow of the strategy applied to identify the best MOFs for D4 adsorption, narrowing down candidates from top to bottom through synergistic computational (left) and experimental (right) actions. The final MOF candidate, PCN-777, is highlighted." title="" id="1" name="Picture"/>
            <a:graphic>
              <a:graphicData uri="http://schemas.openxmlformats.org/drawingml/2006/picture">
                <pic:pic>
                  <pic:nvPicPr>
                    <pic:cNvPr descr="figs/ensemble_schema.png" id="0" name="Picture"/>
                    <pic:cNvPicPr>
                      <a:picLocks noChangeArrowheads="1" noChangeAspect="1"/>
                    </pic:cNvPicPr>
                  </pic:nvPicPr>
                  <pic:blipFill>
                    <a:blip r:embed="rId21"/>
                    <a:stretch>
                      <a:fillRect/>
                    </a:stretch>
                  </pic:blipFill>
                  <pic:spPr bwMode="auto">
                    <a:xfrm>
                      <a:off x="0" y="0"/>
                      <a:ext cx="6311900" cy="4551609"/>
                    </a:xfrm>
                    <a:prstGeom prst="rect">
                      <a:avLst/>
                    </a:prstGeom>
                    <a:noFill/>
                    <a:ln w="9525">
                      <a:noFill/>
                      <a:headEnd/>
                      <a:tailEnd/>
                    </a:ln>
                  </pic:spPr>
                </pic:pic>
              </a:graphicData>
            </a:graphic>
          </wp:inline>
        </w:drawing>
      </w:r>
      <w:bookmarkEnd w:id="22"/>
    </w:p>
    <w:p>
      <w:pPr>
        <w:pStyle w:val="ImageCaption"/>
      </w:pPr>
      <w:r>
        <w:t xml:space="preserve">Figure 1: Workflow of the strategy applied to identify the best MOFs for D4 adsorption, narrowing down</w:t>
      </w:r>
      <w:r>
        <w:t xml:space="preserve"> </w:t>
      </w:r>
      <w:r>
        <w:t xml:space="preserve">candidates from top to bottom through synergistic computational (left) and experimental (right)</w:t>
      </w:r>
      <w:r>
        <w:t xml:space="preserve"> </w:t>
      </w:r>
      <w:r>
        <w:t xml:space="preserve">actions. The final MOF candidate, PCN-777, is highlighted.</w:t>
      </w:r>
    </w:p>
    <w:p>
      <w:pPr>
        <w:pStyle w:val="BodyText"/>
      </w:pPr>
      <w:r>
        <w:t xml:space="preserve">Metal-Organic Frameworks (MOFs) are one of the most recent classes of porous adsorbents. These</w:t>
      </w:r>
      <w:r>
        <w:t xml:space="preserve"> </w:t>
      </w:r>
      <w:r>
        <w:t xml:space="preserve">coordination polymers are built from the assembly of metal nodes and organic multidentate linkers to</w:t>
      </w:r>
      <w:r>
        <w:t xml:space="preserve"> </w:t>
      </w:r>
      <w:r>
        <w:t xml:space="preserve">form architectures of different dimensionality from 1D to 4D</w:t>
      </w:r>
      <w:r>
        <w:t xml:space="preserve"> </w:t>
      </w:r>
      <w:hyperlink w:anchor="ref-fereyHybridPorousSolids2008">
        <w:r>
          <w:rPr>
            <w:rStyle w:val="Hyperlink"/>
          </w:rPr>
          <w:t xml:space="preserve">[13]</w:t>
        </w:r>
      </w:hyperlink>
      <w:r>
        <w:t xml:space="preserve">–</w:t>
      </w:r>
      <w:hyperlink w:anchor="X6cfeada7386efbac03b035d793e1957bfa3e2ac">
        <w:r>
          <w:rPr>
            <w:rStyle w:val="Hyperlink"/>
          </w:rPr>
          <w:t xml:space="preserve">[15]</w:t>
        </w:r>
      </w:hyperlink>
      <w:r>
        <w:t xml:space="preserve">.</w:t>
      </w:r>
      <w:r>
        <w:t xml:space="preserve"> </w:t>
      </w:r>
      <w:r>
        <w:t xml:space="preserve">Their near-infinite diversity, thanks to a wide set of building blocks, has made this class of</w:t>
      </w:r>
      <w:r>
        <w:t xml:space="preserve"> </w:t>
      </w:r>
      <w:r>
        <w:t xml:space="preserve">porous solids promising for applications in gas/vapour adsorption/separation</w:t>
      </w:r>
      <w:r>
        <w:t xml:space="preserve"> </w:t>
      </w:r>
      <w:hyperlink w:anchor="X9da66372b32d359f892a46291215d11a969c634">
        <w:r>
          <w:rPr>
            <w:rStyle w:val="Hyperlink"/>
          </w:rPr>
          <w:t xml:space="preserve">[16]</w:t>
        </w:r>
      </w:hyperlink>
      <w:r>
        <w:t xml:space="preserve">,</w:t>
      </w:r>
      <w:r>
        <w:t xml:space="preserve"> </w:t>
      </w:r>
      <w:hyperlink w:anchor="X13531c79dac12af946d459f16339286f74e2a72">
        <w:r>
          <w:rPr>
            <w:rStyle w:val="Hyperlink"/>
          </w:rPr>
          <w:t xml:space="preserve">[17]</w:t>
        </w:r>
      </w:hyperlink>
      <w:r>
        <w:t xml:space="preserve">,</w:t>
      </w:r>
      <w:r>
        <w:t xml:space="preserve"> </w:t>
      </w:r>
      <w:r>
        <w:t xml:space="preserve">catalysis</w:t>
      </w:r>
      <w:r>
        <w:t xml:space="preserve"> </w:t>
      </w:r>
      <w:hyperlink w:anchor="ref-bavykinaMetalOrganicFrameworks2020">
        <w:r>
          <w:rPr>
            <w:rStyle w:val="Hyperlink"/>
          </w:rPr>
          <w:t xml:space="preserve">[18]</w:t>
        </w:r>
      </w:hyperlink>
      <w:r>
        <w:t xml:space="preserve">, and sensing</w:t>
      </w:r>
      <w:r>
        <w:t xml:space="preserve"> </w:t>
      </w:r>
      <w:hyperlink w:anchor="ref-allendorfElectronicDevicesUsing2020">
        <w:r>
          <w:rPr>
            <w:rStyle w:val="Hyperlink"/>
          </w:rPr>
          <w:t xml:space="preserve">[19]</w:t>
        </w:r>
      </w:hyperlink>
      <w:r>
        <w:t xml:space="preserve">,</w:t>
      </w:r>
      <w:r>
        <w:t xml:space="preserve"> </w:t>
      </w:r>
      <w:hyperlink w:anchor="Xb606f4a235af971fe6df91f53399abc78deb571">
        <w:r>
          <w:rPr>
            <w:rStyle w:val="Hyperlink"/>
          </w:rPr>
          <w:t xml:space="preserve">[20]</w:t>
        </w:r>
      </w:hyperlink>
      <w:r>
        <w:t xml:space="preserve"> </w:t>
      </w:r>
      <w:r>
        <w:t xml:space="preserve">among others.</w:t>
      </w:r>
      <w:r>
        <w:t xml:space="preserve"> </w:t>
      </w:r>
      <w:r>
        <w:t xml:space="preserve">Their high and uniform porosity combined with extensive chemical tunability of their pore walls</w:t>
      </w:r>
      <w:r>
        <w:t xml:space="preserve"> </w:t>
      </w:r>
      <w:r>
        <w:t xml:space="preserve">suggest that MOFs may hold promise as candidates for siloxane adsorption. Insofar only two studies</w:t>
      </w:r>
      <w:r>
        <w:t xml:space="preserve"> </w:t>
      </w:r>
      <w:r>
        <w:t xml:space="preserve">have attempted to investigate the potential of MOFs for D4 removal. Mito-Oka and co-workers</w:t>
      </w:r>
      <w:r>
        <w:t xml:space="preserve"> </w:t>
      </w:r>
      <w:hyperlink w:anchor="ref-mito-okaSiloxaneD4Capture2013">
        <w:r>
          <w:rPr>
            <w:rStyle w:val="Hyperlink"/>
          </w:rPr>
          <w:t xml:space="preserve">[21]</w:t>
        </w:r>
      </w:hyperlink>
      <w:r>
        <w:t xml:space="preserve"> </w:t>
      </w:r>
      <w:r>
        <w:t xml:space="preserve">proposed DUT-4 (</w:t>
      </w:r>
      <m:oMath>
        <m:r>
          <m:rPr>
            <m:sty m:val="p"/>
          </m:rPr>
          <m:t>[</m:t>
        </m:r>
        <m:r>
          <m:t>A</m:t>
        </m:r>
        <m:r>
          <m:t>l</m:t>
        </m:r>
        <m:r>
          <m:rPr>
            <m:sty m:val="p"/>
          </m:rPr>
          <m:t>(</m:t>
        </m:r>
        <m:r>
          <m:t>O</m:t>
        </m:r>
        <m:r>
          <m:t>H</m:t>
        </m:r>
        <m:r>
          <m:rPr>
            <m:sty m:val="p"/>
          </m:rPr>
          <m:t>)</m:t>
        </m:r>
        <m:r>
          <m:rPr>
            <m:sty m:val="p"/>
          </m:rPr>
          <m:t>(</m:t>
        </m:r>
        <m:r>
          <m:t>2</m:t>
        </m:r>
        <m:r>
          <m:rPr>
            <m:sty m:val="p"/>
          </m:rPr>
          <m:t>,</m:t>
        </m:r>
        <m:r>
          <m:t>6</m:t>
        </m:r>
        <m:r>
          <m:rPr>
            <m:sty m:val="p"/>
          </m:rPr>
          <m:t>−</m:t>
        </m:r>
        <m:r>
          <m:t>n</m:t>
        </m:r>
        <m:r>
          <m:t>d</m:t>
        </m:r>
        <m:r>
          <m:t>c</m:t>
        </m:r>
        <m:r>
          <m:rPr>
            <m:sty m:val="p"/>
          </m:rPr>
          <m:t>)</m:t>
        </m:r>
      </m:oMath>
      <w:r>
        <w:t xml:space="preserve">, DUT: Dresden University of</w:t>
      </w:r>
      <w:r>
        <w:t xml:space="preserve"> </w:t>
      </w:r>
      <w:r>
        <w:t xml:space="preserve">Technology), a wine rack-like MOF, as a first potential adsorbent. Although its hydrophobicity makes</w:t>
      </w:r>
      <w:r>
        <w:t xml:space="preserve"> </w:t>
      </w:r>
      <w:r>
        <w:t xml:space="preserve">this MOF attractive for D4 elimination under humidity, its adsorption capacity of 0.15 g/g,</w:t>
      </w:r>
      <w:r>
        <w:t xml:space="preserve"> </w:t>
      </w:r>
      <w:r>
        <w:t xml:space="preserve">estimated through single component by TGA measurements, is rather low and its regeneration can only</w:t>
      </w:r>
      <w:r>
        <w:t xml:space="preserve"> </w:t>
      </w:r>
      <w:r>
        <w:t xml:space="preserve">be achieved at very high temperature, over 523 K, resulting from a high confinement of D4 (kinetic</w:t>
      </w:r>
      <w:r>
        <w:t xml:space="preserve"> </w:t>
      </w:r>
      <w:r>
        <w:t xml:space="preserve">diameter of 8.6 Å) in its channels (9 Å × 9 Å). More recently, MIL-101(Cr)</w:t>
      </w:r>
      <w:r>
        <w:t xml:space="preserve"> </w:t>
      </w:r>
      <w:r>
        <w:t xml:space="preserve">(</w:t>
      </w:r>
      <m:oMath>
        <m:r>
          <m:t>C</m:t>
        </m:r>
        <m:r>
          <m:t>r</m:t>
        </m:r>
        <m:r>
          <m:t>3</m:t>
        </m:r>
        <m:r>
          <m:t>O</m:t>
        </m:r>
        <m:r>
          <m:rPr>
            <m:sty m:val="p"/>
          </m:rPr>
          <m:t>(</m:t>
        </m:r>
        <m:r>
          <m:t>O</m:t>
        </m:r>
        <m:r>
          <m:t>H</m:t>
        </m:r>
        <m:r>
          <m:rPr>
            <m:sty m:val="p"/>
          </m:rPr>
          <m:t>)</m:t>
        </m:r>
        <m:r>
          <m:rPr>
            <m:sty m:val="p"/>
          </m:rPr>
          <m:t>(</m:t>
        </m:r>
        <m:r>
          <m:t>H</m:t>
        </m:r>
        <m:r>
          <m:t>2</m:t>
        </m:r>
        <m:r>
          <m:t>O</m:t>
        </m:r>
        <m:r>
          <m:rPr>
            <m:sty m:val="p"/>
          </m:rPr>
          <m:t>)</m:t>
        </m:r>
        <m:r>
          <m:t>2</m:t>
        </m:r>
        <m:r>
          <m:rPr>
            <m:sty m:val="p"/>
          </m:rPr>
          <m:t>(</m:t>
        </m:r>
        <m:r>
          <m:t>b</m:t>
        </m:r>
        <m:r>
          <m:t>t</m:t>
        </m:r>
        <m:r>
          <m:t>c</m:t>
        </m:r>
        <m:r>
          <m:rPr>
            <m:sty m:val="p"/>
          </m:rPr>
          <m:t>)</m:t>
        </m:r>
        <m:r>
          <m:t>3</m:t>
        </m:r>
      </m:oMath>
      <w:r>
        <w:t xml:space="preserve">, MIL: Material of Institute Lavoisier), a well-known highly porous MOF</w:t>
      </w:r>
      <w:r>
        <w:t xml:space="preserve"> </w:t>
      </w:r>
      <w:r>
        <w:t xml:space="preserve">incorporating two types of mesoporous cages with diameters of 29 Å and 34 Å was demonstrated to</w:t>
      </w:r>
      <w:r>
        <w:t xml:space="preserve"> </w:t>
      </w:r>
      <w:r>
        <w:t xml:space="preserve">exhibit a much higher D4 uptake of 0.95 g/g at 298 K, however its regeneration was only possible</w:t>
      </w:r>
      <w:r>
        <w:t xml:space="preserve"> </w:t>
      </w:r>
      <w:r>
        <w:t xml:space="preserve">upon heating at 423 K under vacuum</w:t>
      </w:r>
      <w:r>
        <w:t xml:space="preserve"> </w:t>
      </w:r>
      <w:hyperlink w:anchor="ref-gargiuloChromiumbasedMIL101Metal2019">
        <w:r>
          <w:rPr>
            <w:rStyle w:val="Hyperlink"/>
          </w:rPr>
          <w:t xml:space="preserve">[22]</w:t>
        </w:r>
      </w:hyperlink>
      <w:r>
        <w:t xml:space="preserve">. Further, since</w:t>
      </w:r>
      <w:r>
        <w:t xml:space="preserve"> </w:t>
      </w:r>
      <w:r>
        <w:t xml:space="preserve">MIL-101(Cr) is known to be highly hydrophilic</w:t>
      </w:r>
      <w:r>
        <w:t xml:space="preserve"> </w:t>
      </w:r>
      <w:hyperlink w:anchor="ref-zhaoSynthesisMIL101Cr2020">
        <w:r>
          <w:rPr>
            <w:rStyle w:val="Hyperlink"/>
          </w:rPr>
          <w:t xml:space="preserve">[23]</w:t>
        </w:r>
      </w:hyperlink>
      <w:r>
        <w:t xml:space="preserve"> </w:t>
      </w:r>
      <w:r>
        <w:t xml:space="preserve">we can expect a</w:t>
      </w:r>
      <w:r>
        <w:t xml:space="preserve"> </w:t>
      </w:r>
      <w:r>
        <w:t xml:space="preserve">substantial drop of its D4 uptake performance even under low-relative humidity. Indeed, neither of</w:t>
      </w:r>
      <w:r>
        <w:t xml:space="preserve"> </w:t>
      </w:r>
      <w:r>
        <w:t xml:space="preserve">these MOFs tested so far combines a large D4 uptake, low-energy regeneration and hydrophobicity to</w:t>
      </w:r>
      <w:r>
        <w:t xml:space="preserve"> </w:t>
      </w:r>
      <w:r>
        <w:t xml:space="preserve">avoid a preferential adsorption of</w:t>
      </w:r>
      <w:r>
        <w:t xml:space="preserve"> </w:t>
      </w:r>
      <m:oMath>
        <m:r>
          <m:t>H</m:t>
        </m:r>
        <m:r>
          <m:t>2</m:t>
        </m:r>
        <m:r>
          <m:t>O</m:t>
        </m:r>
      </m:oMath>
      <w:r>
        <w:t xml:space="preserve"> </w:t>
      </w:r>
      <w:r>
        <w:t xml:space="preserve">over D4 under low to moderate relative humidity.</w:t>
      </w:r>
    </w:p>
    <w:p>
      <w:pPr>
        <w:pStyle w:val="BodyText"/>
      </w:pPr>
      <w:r>
        <w:t xml:space="preserve">To date, only a very small number of MOFs has been sampled for this application, and therefore</w:t>
      </w:r>
      <w:r>
        <w:t xml:space="preserve"> </w:t>
      </w:r>
      <w:r>
        <w:t xml:space="preserve">relied on researchers’ intuition to identify promising adsorbents. There are, however, a myriad of</w:t>
      </w:r>
      <w:r>
        <w:t xml:space="preserve"> </w:t>
      </w:r>
      <w:r>
        <w:t xml:space="preserve">hydrophobic MOFs that can potentially perform better for D4 adsorption. Since it is unfeasible to</w:t>
      </w:r>
      <w:r>
        <w:t xml:space="preserve"> </w:t>
      </w:r>
      <w:r>
        <w:t xml:space="preserve">individually test the performances of all the existing MOFs, several high throughput computational</w:t>
      </w:r>
      <w:r>
        <w:t xml:space="preserve"> </w:t>
      </w:r>
      <w:r>
        <w:t xml:space="preserve">screening (HTCS) workflows have been devised which identified promising MOFs for diverse</w:t>
      </w:r>
      <w:r>
        <w:t xml:space="preserve"> </w:t>
      </w:r>
      <w:r>
        <w:t xml:space="preserve">adsorption-related applications</w:t>
      </w:r>
      <w:r>
        <w:t xml:space="preserve"> </w:t>
      </w:r>
      <w:hyperlink w:anchor="ref-simonWhatAreBest2015">
        <w:r>
          <w:rPr>
            <w:rStyle w:val="Hyperlink"/>
          </w:rPr>
          <w:t xml:space="preserve">[24]</w:t>
        </w:r>
      </w:hyperlink>
      <w:r>
        <w:t xml:space="preserve">–</w:t>
      </w:r>
      <w:hyperlink w:anchor="ref-yaoInverseDesignNanoporous2021">
        <w:r>
          <w:rPr>
            <w:rStyle w:val="Hyperlink"/>
          </w:rPr>
          <w:t xml:space="preserve">[29]</w:t>
        </w:r>
      </w:hyperlink>
      <w:r>
        <w:t xml:space="preserve">.</w:t>
      </w:r>
      <w:r>
        <w:t xml:space="preserve"> </w:t>
      </w:r>
      <w:r>
        <w:t xml:space="preserve">However, such a computational strategy can only be successful if conducted in strong interplay with</w:t>
      </w:r>
      <w:r>
        <w:t xml:space="preserve"> </w:t>
      </w:r>
      <w:r>
        <w:t xml:space="preserve">a careful analysis of the best-predicted MOF performers in terms of chemical/thermal stability under</w:t>
      </w:r>
      <w:r>
        <w:t xml:space="preserve"> </w:t>
      </w:r>
      <w:r>
        <w:t xml:space="preserve">the target working conditions as well as ease of synthesis/activation. This enables the selection of</w:t>
      </w:r>
      <w:r>
        <w:t xml:space="preserve"> </w:t>
      </w:r>
      <w:r>
        <w:t xml:space="preserve">the MOF candidate with the best overall compromise for further adsorption testing to confirm the</w:t>
      </w:r>
      <w:r>
        <w:t xml:space="preserve"> </w:t>
      </w:r>
      <w:r>
        <w:t xml:space="preserve">expectation.</w:t>
      </w:r>
    </w:p>
    <w:p>
      <w:pPr>
        <w:pStyle w:val="BodyText"/>
      </w:pPr>
      <w:r>
        <w:t xml:space="preserve">With this in mind, we herein devise a hand-in-hand computational-experimental strategy whose</w:t>
      </w:r>
      <w:r>
        <w:t xml:space="preserve"> </w:t>
      </w:r>
      <w:r>
        <w:t xml:space="preserve">workflow is summarized in fig. </w:t>
      </w:r>
      <w:hyperlink w:anchor="fig:overview">
        <w:r>
          <w:rPr>
            <w:rStyle w:val="Hyperlink"/>
          </w:rPr>
          <w:t xml:space="preserve">1</w:t>
        </w:r>
      </w:hyperlink>
      <w:r>
        <w:t xml:space="preserve">. As a first stage, the CoRE (Computation-Ready,</w:t>
      </w:r>
      <w:r>
        <w:t xml:space="preserve"> </w:t>
      </w:r>
      <w:r>
        <w:t xml:space="preserve">Experimental) MOF 2019 database</w:t>
      </w:r>
      <w:r>
        <w:t xml:space="preserve"> </w:t>
      </w:r>
      <w:hyperlink w:anchor="ref-chungAdvancesUpdatesAnalytics2019">
        <w:r>
          <w:rPr>
            <w:rStyle w:val="Hyperlink"/>
          </w:rPr>
          <w:t xml:space="preserve">[30]</w:t>
        </w:r>
      </w:hyperlink>
      <w:r>
        <w:t xml:space="preserve"> </w:t>
      </w:r>
      <w:r>
        <w:t xml:space="preserve">was computationally screened</w:t>
      </w:r>
      <w:r>
        <w:t xml:space="preserve"> </w:t>
      </w:r>
      <w:r>
        <w:t xml:space="preserve">with the objective to identify hydrophobic materials showing a D4 uptake higher than the current MOF</w:t>
      </w:r>
      <w:r>
        <w:t xml:space="preserve"> </w:t>
      </w:r>
      <w:r>
        <w:t xml:space="preserve">benchmark, e.g. MIL-101(Cr). From the top 56 best MOF performers, we selected the Zr</w:t>
      </w:r>
      <w:r>
        <w:t xml:space="preserve"> </w:t>
      </w:r>
      <w:r>
        <w:t xml:space="preserve">carboxylate-based mesoporous PCN-777 (PCN for Porous Coordination Network) for further experimental</w:t>
      </w:r>
      <w:r>
        <w:t xml:space="preserve"> </w:t>
      </w:r>
      <w:r>
        <w:t xml:space="preserve">testing. This MOF was demonstrated to exhibit not only a record D4 uptake (1.8 g/g) to date for a</w:t>
      </w:r>
      <w:r>
        <w:t xml:space="preserve"> </w:t>
      </w:r>
      <w:r>
        <w:t xml:space="preserve">crystalline porous material, but also exceptional cycling and low-energy regeneration without the</w:t>
      </w:r>
      <w:r>
        <w:t xml:space="preserve"> </w:t>
      </w:r>
      <w:r>
        <w:t xml:space="preserve">need for thermal treatment, while its confirmed hydrophobicity strongly suggests a preservation of</w:t>
      </w:r>
      <w:r>
        <w:t xml:space="preserve"> </w:t>
      </w:r>
      <w:r>
        <w:t xml:space="preserve">its adsorption performance under low to moderate relative humidity conditions. An in-depth analysis</w:t>
      </w:r>
      <w:r>
        <w:t xml:space="preserve"> </w:t>
      </w:r>
      <w:r>
        <w:t xml:space="preserve">of the adsorption mechanism further revealed the dominant host-guest interactions that control the</w:t>
      </w:r>
      <w:r>
        <w:t xml:space="preserve"> </w:t>
      </w:r>
      <w:r>
        <w:t xml:space="preserve">adsorption of the first D4 molecules and their effective packing in the whole porosity up to</w:t>
      </w:r>
      <w:r>
        <w:t xml:space="preserve"> </w:t>
      </w:r>
      <w:r>
        <w:t xml:space="preserve">saturation.</w:t>
      </w:r>
    </w:p>
    <w:bookmarkEnd w:id="23"/>
    <w:bookmarkStart w:id="31" w:name="methodology"/>
    <w:p>
      <w:pPr>
        <w:pStyle w:val="Heading1"/>
      </w:pPr>
      <w:r>
        <w:t xml:space="preserve">Methodology</w:t>
      </w:r>
    </w:p>
    <w:bookmarkStart w:id="25" w:name="methodology-computational"/>
    <w:p>
      <w:pPr>
        <w:pStyle w:val="Heading2"/>
      </w:pPr>
      <w:r>
        <w:t xml:space="preserve">Computational methods</w:t>
      </w:r>
    </w:p>
    <w:p>
      <w:pPr>
        <w:pStyle w:val="FirstParagraph"/>
      </w:pPr>
      <w:r>
        <w:t xml:space="preserve">The CoRE (Computation-Ready, Experimental) MOF 2019 database</w:t>
      </w:r>
      <w:r>
        <w:t xml:space="preserve"> </w:t>
      </w:r>
      <w:hyperlink w:anchor="ref-chungAdvancesUpdatesAnalytics2019">
        <w:r>
          <w:rPr>
            <w:rStyle w:val="Hyperlink"/>
          </w:rPr>
          <w:t xml:space="preserve">[30]</w:t>
        </w:r>
      </w:hyperlink>
      <w:r>
        <w:t xml:space="preserve"> </w:t>
      </w:r>
      <w:r>
        <w:t xml:space="preserve">was considered in this work. The geometric characterization of MOFs, including pore limiting</w:t>
      </w:r>
      <w:r>
        <w:t xml:space="preserve"> </w:t>
      </w:r>
      <w:r>
        <w:t xml:space="preserve">diameters (PLDs), densities,</w:t>
      </w:r>
      <w:r>
        <w:t xml:space="preserve"> </w:t>
      </w:r>
      <m:oMath>
        <m:r>
          <m:t>N</m:t>
        </m:r>
        <m:r>
          <m:t>2</m:t>
        </m:r>
      </m:oMath>
      <w:r>
        <w:t xml:space="preserve">-accessible surface areas (SAs), pore volumes (PVs) and void</w:t>
      </w:r>
      <w:r>
        <w:t xml:space="preserve"> </w:t>
      </w:r>
      <w:r>
        <w:t xml:space="preserve">fractions (</w:t>
      </w:r>
      <m:oMath>
        <m:r>
          <m:t>ϕ</m:t>
        </m:r>
      </m:oMath>
      <w:r>
        <w:t xml:space="preserve">), were calculated by Zeo++ software</w:t>
      </w:r>
      <w:r>
        <w:t xml:space="preserve"> </w:t>
      </w:r>
      <w:hyperlink w:anchor="Xc393fa15a7fd111b2302ccebfe2294244c053bc">
        <w:r>
          <w:rPr>
            <w:rStyle w:val="Hyperlink"/>
          </w:rPr>
          <w:t xml:space="preserve">[31]</w:t>
        </w:r>
      </w:hyperlink>
      <w:r>
        <w:t xml:space="preserve">.</w:t>
      </w:r>
      <w:r>
        <w:t xml:space="preserve"> </w:t>
      </w:r>
      <w:r>
        <w:t xml:space="preserve">All Monte Carlo simulations were performed with the RASPA simulation package</w:t>
      </w:r>
      <w:r>
        <w:t xml:space="preserve"> </w:t>
      </w:r>
      <w:hyperlink w:anchor="X8414d95805b03ad1b89c4998d4db27d936a1ab9">
        <w:r>
          <w:rPr>
            <w:rStyle w:val="Hyperlink"/>
          </w:rPr>
          <w:t xml:space="preserve">[32]</w:t>
        </w:r>
      </w:hyperlink>
      <w:r>
        <w:t xml:space="preserve">. Henry coefficients of</w:t>
      </w:r>
      <w:r>
        <w:t xml:space="preserve"> </w:t>
      </w:r>
      <m:oMath>
        <m:r>
          <m:t>H</m:t>
        </m:r>
        <m:r>
          <m:t>2</m:t>
        </m:r>
        <m:r>
          <m:t>O</m:t>
        </m:r>
      </m:oMath>
      <w:r>
        <w:t xml:space="preserve"> </w:t>
      </w:r>
      <w:r>
        <w:t xml:space="preserve">(</w:t>
      </w:r>
      <m:oMath>
        <m:sSub>
          <m:e>
            <m:r>
              <m:t>K</m:t>
            </m:r>
          </m:e>
          <m:sub>
            <m:r>
              <m:t>H</m:t>
            </m:r>
            <m:r>
              <m:rPr>
                <m:sty m:val="p"/>
              </m:rPr>
              <m:t>,</m:t>
            </m:r>
            <m:sSub>
              <m:e>
                <m:r>
                  <m:t>H</m:t>
                </m:r>
              </m:e>
              <m:sub>
                <m:r>
                  <m:t>2</m:t>
                </m:r>
              </m:sub>
            </m:sSub>
            <m:r>
              <m:t>O</m:t>
            </m:r>
          </m:sub>
        </m:sSub>
      </m:oMath>
      <w:r>
        <w:t xml:space="preserve">) and</w:t>
      </w:r>
      <w:r>
        <w:t xml:space="preserve"> </w:t>
      </w:r>
      <w:r>
        <w:t xml:space="preserve">isosteric enthalpy of adsorption (</w:t>
      </w:r>
      <m:oMath>
        <m:r>
          <m:t>Δ</m:t>
        </m:r>
        <m:sSubSup>
          <m:e>
            <m:r>
              <m:t>H</m:t>
            </m:r>
          </m:e>
          <m:sub>
            <m:r>
              <m:t>s</m:t>
            </m:r>
            <m:r>
              <m:t>t</m:t>
            </m:r>
            <m:r>
              <m:rPr>
                <m:sty m:val="p"/>
              </m:rPr>
              <m:t>,</m:t>
            </m:r>
            <m:sSub>
              <m:e>
                <m:r>
                  <m:t>H</m:t>
                </m:r>
              </m:e>
              <m:sub>
                <m:r>
                  <m:t>2</m:t>
                </m:r>
              </m:sub>
            </m:sSub>
            <m:r>
              <m:t>O</m:t>
            </m:r>
          </m:sub>
          <m:sup>
            <m:r>
              <m:t>0</m:t>
            </m:r>
          </m:sup>
        </m:sSubSup>
      </m:oMath>
      <w:r>
        <w:t xml:space="preserve">) values were initially computed at 298 K for all MOFs using the Widom particle</w:t>
      </w:r>
      <w:r>
        <w:t xml:space="preserve"> </w:t>
      </w:r>
      <w:r>
        <w:t xml:space="preserve">insertion method</w:t>
      </w:r>
      <w:r>
        <w:t xml:space="preserve"> </w:t>
      </w:r>
      <w:hyperlink w:anchor="X2d346866bcc9823a9d7e4bfee703306fc65f584">
        <w:r>
          <w:rPr>
            <w:rStyle w:val="Hyperlink"/>
          </w:rPr>
          <w:t xml:space="preserve">[33]</w:t>
        </w:r>
      </w:hyperlink>
      <w:r>
        <w:t xml:space="preserve">. These simulations were carried out</w:t>
      </w:r>
      <w:r>
        <w:t xml:space="preserve"> </w:t>
      </w:r>
      <w:r>
        <w:t xml:space="preserve">using 1 × 10</w:t>
      </w:r>
      <w:r>
        <w:rPr>
          <w:vertAlign w:val="superscript"/>
        </w:rPr>
        <w:t xml:space="preserve">5</w:t>
      </w:r>
      <w:r>
        <w:t xml:space="preserve"> </w:t>
      </w:r>
      <w:r>
        <w:t xml:space="preserve">production cycles and 5 × 10</w:t>
      </w:r>
      <w:r>
        <w:rPr>
          <w:vertAlign w:val="superscript"/>
        </w:rPr>
        <w:t xml:space="preserve">4</w:t>
      </w:r>
      <w:r>
        <w:t xml:space="preserve"> </w:t>
      </w:r>
      <w:r>
        <w:t xml:space="preserve">cycles for equilibration. We applied the same Widom</w:t>
      </w:r>
      <w:r>
        <w:t xml:space="preserve"> </w:t>
      </w:r>
      <w:r>
        <w:t xml:space="preserve">insertion method to calculate isosteric enthalpy of adsorption at low coverage for D4 in DUT-4 and</w:t>
      </w:r>
      <w:r>
        <w:t xml:space="preserve"> </w:t>
      </w:r>
      <w:r>
        <w:t xml:space="preserve">PCN-777 with the consideration of 1 × 10</w:t>
      </w:r>
      <w:r>
        <w:rPr>
          <w:vertAlign w:val="superscript"/>
        </w:rPr>
        <w:t xml:space="preserve">6</w:t>
      </w:r>
      <w:r>
        <w:t xml:space="preserve"> </w:t>
      </w:r>
      <w:r>
        <w:t xml:space="preserve">production cycles and 5 × 10</w:t>
      </w:r>
      <w:r>
        <w:rPr>
          <w:vertAlign w:val="superscript"/>
        </w:rPr>
        <w:t xml:space="preserve">5</w:t>
      </w:r>
      <w:r>
        <w:t xml:space="preserve"> </w:t>
      </w:r>
      <w:r>
        <w:t xml:space="preserve">steps for equilibration.</w:t>
      </w:r>
      <w:r>
        <w:t xml:space="preserve"> </w:t>
      </w:r>
      <w:r>
        <w:t xml:space="preserve">Continuous fractional component Monte Carlo (CFCMC) simulations were performed to evaluate the</w:t>
      </w:r>
      <w:r>
        <w:t xml:space="preserve"> </w:t>
      </w:r>
      <w:r>
        <w:t xml:space="preserve">saturation D4 uptake of all the selected hydrophobic MOFs at 298 K. All CFCMC simulations were</w:t>
      </w:r>
      <w:r>
        <w:t xml:space="preserve"> </w:t>
      </w:r>
      <w:r>
        <w:t xml:space="preserve">carried out for a total of 1 × 10</w:t>
      </w:r>
      <w:r>
        <w:rPr>
          <w:vertAlign w:val="superscript"/>
        </w:rPr>
        <w:t xml:space="preserve">4</w:t>
      </w:r>
      <w:r>
        <w:t xml:space="preserve"> </w:t>
      </w:r>
      <w:r>
        <w:t xml:space="preserve">cycles with 5 × 10</w:t>
      </w:r>
      <w:r>
        <w:rPr>
          <w:vertAlign w:val="superscript"/>
        </w:rPr>
        <w:t xml:space="preserve">3</w:t>
      </w:r>
      <w:r>
        <w:t xml:space="preserve"> </w:t>
      </w:r>
      <w:r>
        <w:t xml:space="preserve">cycles for equilibration. A cycle</w:t>
      </w:r>
      <w:r>
        <w:t xml:space="preserve"> </w:t>
      </w:r>
      <w:r>
        <w:t xml:space="preserve">consists of N Monte Carlo steps, where N is equal to the number of molecules (which fluctuates</w:t>
      </w:r>
      <w:r>
        <w:t xml:space="preserve"> </w:t>
      </w:r>
      <w:r>
        <w:t xml:space="preserve">during a CFCMC simulation). For each cycle, random insertion, rotation, translation and</w:t>
      </w:r>
      <w:r>
        <w:t xml:space="preserve"> </w:t>
      </w:r>
      <w:r>
        <w:t xml:space="preserve">continuous-fractional swap moves were attempted. The D4/MOF and</w:t>
      </w:r>
      <w:r>
        <w:t xml:space="preserve"> </w:t>
      </w:r>
      <m:oMath>
        <m:r>
          <m:t>H</m:t>
        </m:r>
        <m:r>
          <m:t>2</m:t>
        </m:r>
        <m:r>
          <m:t>O</m:t>
        </m:r>
      </m:oMath>
      <w:r>
        <w:t xml:space="preserve">/MOF interactions were</w:t>
      </w:r>
      <w:r>
        <w:t xml:space="preserve"> </w:t>
      </w:r>
      <w:r>
        <w:t xml:space="preserve">described by the sum of van der Waals (LJ) and Coulombic terms. The electrostatic interactions were</w:t>
      </w:r>
      <w:r>
        <w:t xml:space="preserve"> </w:t>
      </w:r>
      <w:r>
        <w:t xml:space="preserve">calculated by the Ewald summation</w:t>
      </w:r>
      <w:r>
        <w:t xml:space="preserve"> </w:t>
      </w:r>
      <w:hyperlink w:anchor="ref-ewaldBerechnungOptischerUnd1921">
        <w:r>
          <w:rPr>
            <w:rStyle w:val="Hyperlink"/>
          </w:rPr>
          <w:t xml:space="preserve">[34]</w:t>
        </w:r>
      </w:hyperlink>
      <w:r>
        <w:t xml:space="preserve"> </w:t>
      </w:r>
      <w:r>
        <w:t xml:space="preserve">while a cut-off radius of 12.8</w:t>
      </w:r>
      <w:r>
        <w:t xml:space="preserve"> </w:t>
      </w:r>
      <w:r>
        <w:t xml:space="preserve">Å was considered for the van der Waals term. Cell lengths of the simulations were increased to at</w:t>
      </w:r>
      <w:r>
        <w:t xml:space="preserve"> </w:t>
      </w:r>
      <w:r>
        <w:t xml:space="preserve">least 25.6 Å in each three dimensions and all MOF frameworks were considered as rigid in the</w:t>
      </w:r>
      <w:r>
        <w:t xml:space="preserve"> </w:t>
      </w:r>
      <w:r>
        <w:t xml:space="preserve">simulations. Atomic charges for all atoms in the MOFs were estimated using Extended Charge</w:t>
      </w:r>
      <w:r>
        <w:t xml:space="preserve"> </w:t>
      </w:r>
      <w:r>
        <w:t xml:space="preserve">Equilibration (Qeq) method as implemented in RASPA</w:t>
      </w:r>
      <w:r>
        <w:t xml:space="preserve"> </w:t>
      </w:r>
      <w:hyperlink w:anchor="X8414d95805b03ad1b89c4998d4db27d936a1ab9">
        <w:r>
          <w:rPr>
            <w:rStyle w:val="Hyperlink"/>
          </w:rPr>
          <w:t xml:space="preserve">[32]</w:t>
        </w:r>
      </w:hyperlink>
      <w:r>
        <w:t xml:space="preserve"> </w:t>
      </w:r>
      <w:r>
        <w:t xml:space="preserve">and</w:t>
      </w:r>
      <w:r>
        <w:t xml:space="preserve"> </w:t>
      </w:r>
      <w:r>
        <w:t xml:space="preserve">their LJ parameters were taken from the UFF forcefield as currently employed</w:t>
      </w:r>
      <w:r>
        <w:t xml:space="preserve"> </w:t>
      </w:r>
      <w:hyperlink w:anchor="X2974c98552c720a1b130955a7f04c585bd28e7e">
        <w:r>
          <w:rPr>
            <w:rStyle w:val="Hyperlink"/>
          </w:rPr>
          <w:t xml:space="preserve">[35]</w:t>
        </w:r>
      </w:hyperlink>
      <w:r>
        <w:t xml:space="preserve">,</w:t>
      </w:r>
      <w:r>
        <w:t xml:space="preserve"> </w:t>
      </w:r>
      <w:hyperlink w:anchor="X65afd087067b0ffd7ebe65dd1bcea38a9ac6b47">
        <w:r>
          <w:rPr>
            <w:rStyle w:val="Hyperlink"/>
          </w:rPr>
          <w:t xml:space="preserve">[36]</w:t>
        </w:r>
      </w:hyperlink>
      <w:r>
        <w:t xml:space="preserve">. H2O was</w:t>
      </w:r>
      <w:r>
        <w:t xml:space="preserve"> </w:t>
      </w:r>
      <w:r>
        <w:t xml:space="preserve">modelled using TIP4P/2005</w:t>
      </w:r>
      <w:r>
        <w:t xml:space="preserve"> </w:t>
      </w:r>
      <w:hyperlink w:anchor="ref-abascalGeneralPurposeModel2005">
        <w:r>
          <w:rPr>
            <w:rStyle w:val="Hyperlink"/>
          </w:rPr>
          <w:t xml:space="preserve">[37]</w:t>
        </w:r>
      </w:hyperlink>
      <w:r>
        <w:t xml:space="preserve">. D4 was described by a semi-flexible all</w:t>
      </w:r>
      <w:r>
        <w:t xml:space="preserve"> </w:t>
      </w:r>
      <w:r>
        <w:t xml:space="preserve">atom model with intramolecular parameters taken from the consistent-valence force field (CVFF)</w:t>
      </w:r>
      <w:r>
        <w:t xml:space="preserve"> </w:t>
      </w:r>
      <w:hyperlink w:anchor="X73614b257bdd871e78e6571fa5cd0b15764920c">
        <w:r>
          <w:rPr>
            <w:rStyle w:val="Hyperlink"/>
          </w:rPr>
          <w:t xml:space="preserve">[38]</w:t>
        </w:r>
      </w:hyperlink>
      <w:r>
        <w:t xml:space="preserve"> </w:t>
      </w:r>
      <w:r>
        <w:t xml:space="preserve">(tbls. </w:t>
      </w:r>
      <w:hyperlink w:anchor="tbl:ff-d4-bond">
        <w:r>
          <w:rPr>
            <w:rStyle w:val="Hyperlink"/>
          </w:rPr>
          <w:t xml:space="preserve">2</w:t>
        </w:r>
      </w:hyperlink>
      <w:r>
        <w:t xml:space="preserve">-</w:t>
      </w:r>
      <w:hyperlink w:anchor="tbl:ff-d4-cross-bondbend">
        <w:r>
          <w:rPr>
            <w:rStyle w:val="Hyperlink"/>
          </w:rPr>
          <w:t xml:space="preserve">6</w:t>
        </w:r>
      </w:hyperlink>
      <w:r>
        <w:t xml:space="preserve">,</w:t>
      </w:r>
      <w:r>
        <w:t xml:space="preserve"> </w:t>
      </w:r>
      <w:r>
        <w:t xml:space="preserve">SI) while the LJ parameters for all atoms were taken from the UFF forcefield as done in earlier work</w:t>
      </w:r>
      <w:r>
        <w:t xml:space="preserve"> </w:t>
      </w:r>
      <w:hyperlink w:anchor="ref-xuSolvationForceSimulations2014">
        <w:r>
          <w:rPr>
            <w:rStyle w:val="Hyperlink"/>
          </w:rPr>
          <w:t xml:space="preserve">[39]</w:t>
        </w:r>
      </w:hyperlink>
      <w:r>
        <w:t xml:space="preserve"> </w:t>
      </w:r>
      <w:r>
        <w:t xml:space="preserve">and their charges were calculated at the DFT level</w:t>
      </w:r>
      <w:r>
        <w:t xml:space="preserve"> </w:t>
      </w:r>
      <w:r>
        <w:t xml:space="preserve">(tbl. </w:t>
      </w:r>
      <w:hyperlink w:anchor="tbl:ff-d4-charge">
        <w:r>
          <w:rPr>
            <w:rStyle w:val="Hyperlink"/>
          </w:rPr>
          <w:t xml:space="preserve">7</w:t>
        </w:r>
      </w:hyperlink>
      <w:r>
        <w:t xml:space="preserve">, SI).</w:t>
      </w:r>
    </w:p>
    <w:p>
      <w:pPr>
        <w:pStyle w:val="BodyText"/>
      </w:pPr>
      <w:r>
        <w:t xml:space="preserve">All the results of the HCTS are available as CSV files in the SI. A web-based explorer, which can be</w:t>
      </w:r>
      <w:r>
        <w:t xml:space="preserve"> </w:t>
      </w:r>
      <w:r>
        <w:t xml:space="preserve">used to interactively display the dataset is available at</w:t>
      </w:r>
      <w:r>
        <w:t xml:space="preserve"> </w:t>
      </w:r>
      <w:hyperlink r:id="rId24">
        <w:r>
          <w:rPr>
            <w:rStyle w:val="Hyperlink"/>
          </w:rPr>
          <w:t xml:space="preserve">https://pauliacomi.com/mof4d4</w:t>
        </w:r>
      </w:hyperlink>
      <w:r>
        <w:t xml:space="preserve">.</w:t>
      </w:r>
    </w:p>
    <w:bookmarkEnd w:id="25"/>
    <w:bookmarkStart w:id="26" w:name="methodology-benchmark"/>
    <w:p>
      <w:pPr>
        <w:pStyle w:val="Heading2"/>
      </w:pPr>
      <w:r>
        <w:t xml:space="preserve">MOF sorbents</w:t>
      </w:r>
    </w:p>
    <w:p>
      <w:pPr>
        <w:pStyle w:val="FirstParagraph"/>
      </w:pPr>
      <w:r>
        <w:t xml:space="preserve">The benchmark MIL-101(Cr) sample was taken from a previous work</w:t>
      </w:r>
      <w:r>
        <w:t xml:space="preserve"> </w:t>
      </w:r>
      <w:hyperlink w:anchor="ref-pillaiCapturePerformancesHybrid2017">
        <w:r>
          <w:rPr>
            <w:rStyle w:val="Hyperlink"/>
          </w:rPr>
          <w:t xml:space="preserve">[40]</w:t>
        </w:r>
      </w:hyperlink>
      <w:r>
        <w:t xml:space="preserve">, with all textural characteristics as stated in reference.</w:t>
      </w:r>
      <w:r>
        <w:t xml:space="preserve"> </w:t>
      </w:r>
      <w:r>
        <w:t xml:space="preserve">DUT-4 was purchased from Materials Center (TU Dresden, Germany). PXRD, TGA and</w:t>
      </w:r>
      <w:r>
        <w:t xml:space="preserve"> </w:t>
      </w:r>
      <m:oMath>
        <m:r>
          <m:t>N</m:t>
        </m:r>
        <m:r>
          <m:t>2</m:t>
        </m:r>
      </m:oMath>
      <w:r>
        <w:t xml:space="preserve"> </w:t>
      </w:r>
      <w:r>
        <w:t xml:space="preserve">physisorption measurements for DUT-4 are available in the SI (fig. </w:t>
      </w:r>
      <w:hyperlink w:anchor="fig:dut4-summary">
        <w:r>
          <w:rPr>
            <w:rStyle w:val="Hyperlink"/>
          </w:rPr>
          <w:t xml:space="preserve">10</w:t>
        </w:r>
      </w:hyperlink>
      <w:r>
        <w:t xml:space="preserve">). BET surface</w:t>
      </w:r>
      <w:r>
        <w:t xml:space="preserve"> </w:t>
      </w:r>
      <w:r>
        <w:t xml:space="preserve">areas of 3475 m</w:t>
      </w:r>
      <w:r>
        <w:rPr>
          <w:vertAlign w:val="superscript"/>
        </w:rPr>
        <w:t xml:space="preserve">2</w:t>
      </w:r>
      <w:r>
        <w:t xml:space="preserve">/g and 1610 m</w:t>
      </w:r>
      <w:r>
        <w:rPr>
          <w:vertAlign w:val="superscript"/>
        </w:rPr>
        <w:t xml:space="preserve">2</w:t>
      </w:r>
      <w:r>
        <w:t xml:space="preserve">/g were determined for MIL-101(Cr) and DUT-4, respectively.</w:t>
      </w:r>
      <w:r>
        <w:t xml:space="preserve"> </w:t>
      </w:r>
      <w:r>
        <w:t xml:space="preserve">PCN-777 was synthesised by optimizing a previous published methodology</w:t>
      </w:r>
      <w:r>
        <w:t xml:space="preserve"> </w:t>
      </w:r>
      <w:hyperlink w:anchor="ref-fengHighlyStableZeotype2015">
        <w:r>
          <w:rPr>
            <w:rStyle w:val="Hyperlink"/>
          </w:rPr>
          <w:t xml:space="preserve">[41]</w:t>
        </w:r>
      </w:hyperlink>
      <w:r>
        <w:t xml:space="preserve">. Full synthesis methodology, activation procedure and phase purity</w:t>
      </w:r>
      <w:r>
        <w:t xml:space="preserve"> </w:t>
      </w:r>
      <w:r>
        <w:t xml:space="preserve">analysis using TGA, PXRD and</w:t>
      </w:r>
      <w:r>
        <w:t xml:space="preserve"> </w:t>
      </w:r>
      <m:oMath>
        <m:r>
          <m:t>N</m:t>
        </m:r>
        <m:r>
          <m:t>2</m:t>
        </m:r>
      </m:oMath>
      <w:r>
        <w:t xml:space="preserve"> </w:t>
      </w:r>
      <w:r>
        <w:t xml:space="preserve">physisorption are given in the SI. All samples were activated</w:t>
      </w:r>
      <w:r>
        <w:t xml:space="preserve"> </w:t>
      </w:r>
      <w:r>
        <w:t xml:space="preserve">at 423 K under vacuum adsorption experiments.</w:t>
      </w:r>
    </w:p>
    <w:bookmarkEnd w:id="26"/>
    <w:bookmarkStart w:id="27" w:name="methodology-characterization"/>
    <w:p>
      <w:pPr>
        <w:pStyle w:val="Heading2"/>
      </w:pPr>
      <w:r>
        <w:t xml:space="preserve">Material characterization</w:t>
      </w:r>
    </w:p>
    <w:p>
      <w:pPr>
        <w:pStyle w:val="FirstParagraph"/>
      </w:pPr>
      <w:r>
        <w:t xml:space="preserve">PXRD patterns were recorded on a Panalytical X’Pert PRO PXRD diffractometer with a Cu</w:t>
      </w:r>
      <w:r>
        <w:t xml:space="preserve"> </w:t>
      </w:r>
      <m:oMath>
        <m:sSub>
          <m:e>
            <m:r>
              <m:t>K</m:t>
            </m:r>
          </m:e>
          <m:sub>
            <m:r>
              <m:t>α</m:t>
            </m:r>
          </m:sub>
        </m:sSub>
      </m:oMath>
      <w:r>
        <w:t xml:space="preserve"> </w:t>
      </w:r>
      <w:r>
        <w:t xml:space="preserve">radiation source, in a Bragg-Brentano reflection geometry, using a spinning sample holder with a</w:t>
      </w:r>
      <w:r>
        <w:t xml:space="preserve"> </w:t>
      </w:r>
      <w:r>
        <w:t xml:space="preserve">low-background silicon insert.</w:t>
      </w:r>
      <w:r>
        <w:t xml:space="preserve"> </w:t>
      </w:r>
      <m:oMath>
        <m:r>
          <m:t>N</m:t>
        </m:r>
        <m:r>
          <m:t>2</m:t>
        </m:r>
      </m:oMath>
      <w:r>
        <w:t xml:space="preserve"> </w:t>
      </w:r>
      <w:r>
        <w:t xml:space="preserve">isotherms at 77 K were recorded in a Micromeritics Tristar</w:t>
      </w:r>
      <w:r>
        <w:t xml:space="preserve"> </w:t>
      </w:r>
      <w:r>
        <w:t xml:space="preserve">manometric analyser (displayed in fig. </w:t>
      </w:r>
      <w:hyperlink w:anchor="fig:n2-phys">
        <w:r>
          <w:rPr>
            <w:rStyle w:val="Hyperlink"/>
          </w:rPr>
          <w:t xml:space="preserve">12</w:t>
        </w:r>
      </w:hyperlink>
      <w:r>
        <w:t xml:space="preserve">, SI). The Brunauer-Emmet-Teller area was calculated</w:t>
      </w:r>
      <w:r>
        <w:t xml:space="preserve"> </w:t>
      </w:r>
      <w:r>
        <w:t xml:space="preserve">using the pyGAPS suite</w:t>
      </w:r>
      <w:r>
        <w:t xml:space="preserve"> </w:t>
      </w:r>
      <w:hyperlink w:anchor="ref-iacomiPyGAPSPythonbasedFramework2019">
        <w:r>
          <w:rPr>
            <w:rStyle w:val="Hyperlink"/>
          </w:rPr>
          <w:t xml:space="preserve">[42]</w:t>
        </w:r>
      </w:hyperlink>
      <w:r>
        <w:t xml:space="preserve">, with the application of the</w:t>
      </w:r>
      <w:r>
        <w:t xml:space="preserve"> </w:t>
      </w:r>
      <w:r>
        <w:t xml:space="preserve">Rouquerol rules for isotherm region selection yielding a minimum Pearson correlation coefficient of</w:t>
      </w:r>
      <w:r>
        <w:t xml:space="preserve"> </w:t>
      </w:r>
      <m:oMath>
        <m:r>
          <m:t>R</m:t>
        </m:r>
        <m:r>
          <m:rPr>
            <m:sty m:val="p"/>
          </m:rPr>
          <m:t>=</m:t>
        </m:r>
        <m:r>
          <m:t>0.997</m:t>
        </m:r>
      </m:oMath>
      <w:r>
        <w:t xml:space="preserve"> </w:t>
      </w:r>
      <w:r>
        <w:t xml:space="preserve">(see fig. </w:t>
      </w:r>
      <w:hyperlink w:anchor="fig:n2-analysis">
        <w:r>
          <w:rPr>
            <w:rStyle w:val="Hyperlink"/>
          </w:rPr>
          <w:t xml:space="preserve">13</w:t>
        </w:r>
      </w:hyperlink>
      <w:r>
        <w:t xml:space="preserve"> </w:t>
      </w:r>
      <w:r>
        <w:t xml:space="preserve">for resulting fitting).</w:t>
      </w:r>
    </w:p>
    <w:bookmarkEnd w:id="27"/>
    <w:bookmarkStart w:id="30" w:name="methodology-d4sorption"/>
    <w:p>
      <w:pPr>
        <w:pStyle w:val="Heading2"/>
      </w:pPr>
      <w:r>
        <w:t xml:space="preserve">D4 sorption experiments</w:t>
      </w:r>
    </w:p>
    <w:p>
      <w:pPr>
        <w:pStyle w:val="FirstParagraph"/>
      </w:pPr>
      <w:r>
        <w:t xml:space="preserve">Sorption measurements were gravimetrically recorded using a dynamic method in a DVS Vacuum</w:t>
      </w:r>
      <w:r>
        <w:t xml:space="preserve"> </w:t>
      </w:r>
      <w:r>
        <w:t xml:space="preserve">instrument (Surface Measurement Systems, UK). In this setup, a continuous adsorbate flow sourced</w:t>
      </w:r>
      <w:r>
        <w:t xml:space="preserve"> </w:t>
      </w:r>
      <w:r>
        <w:t xml:space="preserve">from the headspace of a reservoir enters the sample enclosure, passes the suspended sample pan, and</w:t>
      </w:r>
      <w:r>
        <w:t xml:space="preserve"> </w:t>
      </w:r>
      <w:r>
        <w:t xml:space="preserve">is entrained by a vacuum system. Pressure is controlled by a butterfly valve located before the</w:t>
      </w:r>
      <w:r>
        <w:t xml:space="preserve"> </w:t>
      </w:r>
      <w:r>
        <w:t xml:space="preserve">outlet. Uptake is monitored by a magnetically suspended balance, capable of measuring mass changes</w:t>
      </w:r>
      <w:r>
        <w:t xml:space="preserve"> </w:t>
      </w:r>
      <w:r>
        <w:t xml:space="preserve">at a resolution of 0.1 μg. The entire apparatus is kept in a temperature-controlled chamber to avoid</w:t>
      </w:r>
      <w:r>
        <w:t xml:space="preserve"> </w:t>
      </w:r>
      <w:r>
        <w:t xml:space="preserve">any condensation points. For each experiment, a stainless-steel sample pan is first tared, then</w:t>
      </w:r>
      <w:r>
        <w:t xml:space="preserve"> </w:t>
      </w:r>
      <w:r>
        <w:t xml:space="preserve">loaded with about 10 mg of sample. The sample is activated</w:t>
      </w:r>
      <w:r>
        <w:t xml:space="preserve"> </w:t>
      </w:r>
      <w:r>
        <w:rPr>
          <w:iCs/>
          <w:i/>
        </w:rPr>
        <w:t xml:space="preserve">in situ</w:t>
      </w:r>
      <w:r>
        <w:t xml:space="preserve"> </w:t>
      </w:r>
      <w:r>
        <w:t xml:space="preserve">under dynamic vacuum (1E-2 Pa)</w:t>
      </w:r>
      <w:r>
        <w:t xml:space="preserve"> </w:t>
      </w:r>
      <w:r>
        <w:t xml:space="preserve">to 423 K. The adsorption-desorption isotherms for D4 and</w:t>
      </w:r>
      <w:r>
        <w:t xml:space="preserve"> </w:t>
      </w:r>
      <m:oMath>
        <m:r>
          <m:t>H</m:t>
        </m:r>
        <m:r>
          <m:t>2</m:t>
        </m:r>
        <m:r>
          <m:t>O</m:t>
        </m:r>
      </m:oMath>
      <w:r>
        <w:t xml:space="preserve"> </w:t>
      </w:r>
      <w:r>
        <w:t xml:space="preserve">and subsequent repeats were</w:t>
      </w:r>
      <w:r>
        <w:t xml:space="preserve"> </w:t>
      </w:r>
      <w:r>
        <w:t xml:space="preserve">recorded at 303 K in the 0-10 Pa range of pressure. Adsorption cycling was similarly recorded,</w:t>
      </w:r>
      <w:r>
        <w:t xml:space="preserve"> </w:t>
      </w:r>
      <w:r>
        <w:t xml:space="preserve">switching between two setpoints of low (0.5 Pa) and high pressure (10 Pa). The D4 used for the</w:t>
      </w:r>
      <w:r>
        <w:t xml:space="preserve"> </w:t>
      </w:r>
      <w:r>
        <w:t xml:space="preserve">sorption experiments was sourced from Sigma Aldrich, with minimum 98% purity.</w:t>
      </w:r>
    </w:p>
    <w:p>
      <w:pPr>
        <w:pStyle w:val="CaptionedFigure"/>
      </w:pPr>
      <w:bookmarkStart w:id="29" w:name="fig:d4-screening"/>
      <w:r>
        <w:drawing>
          <wp:inline>
            <wp:extent cx="6311900" cy="2280295"/>
            <wp:effectExtent b="0" l="0" r="0" t="0"/>
            <wp:docPr descr="Figure 2: (a) Predicted D4 uptake performance at 298 K for the hydrophobic MOF database plotted as a function of computed \Delta  H_{st,H_{2}O}^{0}, and colour coded by void fraction, \phi. Top performing 10 candidates are represented by different symbols in the legend. (b) Relation between gravimetric (g/g) and volumetric (g/cm3) D4 uptake for all MOFs at 298 K. Marker size represents PV while colour denotes \phi. Dashed line represents the gravimetric and volumetric uptake of benchmark MIL-101(Cr)[22]. (c) The structure of our promising material identified for D4 uptake, PCN-777. Zr, N, O, C, and H atoms are depicted in light blue, dark blue, red, dark grey, and light grey, respectively." title="" id="1" name="Picture"/>
            <a:graphic>
              <a:graphicData uri="http://schemas.openxmlformats.org/drawingml/2006/picture">
                <pic:pic>
                  <pic:nvPicPr>
                    <pic:cNvPr descr="figs/screening.png" id="0" name="Picture"/>
                    <pic:cNvPicPr>
                      <a:picLocks noChangeArrowheads="1" noChangeAspect="1"/>
                    </pic:cNvPicPr>
                  </pic:nvPicPr>
                  <pic:blipFill>
                    <a:blip r:embed="rId28"/>
                    <a:stretch>
                      <a:fillRect/>
                    </a:stretch>
                  </pic:blipFill>
                  <pic:spPr bwMode="auto">
                    <a:xfrm>
                      <a:off x="0" y="0"/>
                      <a:ext cx="6311900" cy="2280295"/>
                    </a:xfrm>
                    <a:prstGeom prst="rect">
                      <a:avLst/>
                    </a:prstGeom>
                    <a:noFill/>
                    <a:ln w="9525">
                      <a:noFill/>
                      <a:headEnd/>
                      <a:tailEnd/>
                    </a:ln>
                  </pic:spPr>
                </pic:pic>
              </a:graphicData>
            </a:graphic>
          </wp:inline>
        </w:drawing>
      </w:r>
      <w:bookmarkEnd w:id="29"/>
    </w:p>
    <w:p>
      <w:pPr>
        <w:pStyle w:val="ImageCaption"/>
      </w:pPr>
      <w:r>
        <w:t xml:space="preserve">Figure 2: (a) Predicted D4 uptake performance at 298 K for the hydrophobic MOF database plotted as a</w:t>
      </w:r>
      <w:r>
        <w:t xml:space="preserve"> </w:t>
      </w:r>
      <w:r>
        <w:t xml:space="preserve">function of computed</w:t>
      </w:r>
      <w:r>
        <w:t xml:space="preserve"> </w:t>
      </w:r>
      <m:oMath>
        <m:r>
          <m:t>Δ</m:t>
        </m:r>
        <m:sSubSup>
          <m:e>
            <m:r>
              <m:t>H</m:t>
            </m:r>
          </m:e>
          <m:sub>
            <m:r>
              <m:t>s</m:t>
            </m:r>
            <m:r>
              <m:t>t</m:t>
            </m:r>
            <m:r>
              <m:rPr>
                <m:sty m:val="p"/>
              </m:rPr>
              <m:t>,</m:t>
            </m:r>
            <m:sSub>
              <m:e>
                <m:r>
                  <m:t>H</m:t>
                </m:r>
              </m:e>
              <m:sub>
                <m:r>
                  <m:t>2</m:t>
                </m:r>
              </m:sub>
            </m:sSub>
            <m:r>
              <m:t>O</m:t>
            </m:r>
          </m:sub>
          <m:sup>
            <m:r>
              <m:t>0</m:t>
            </m:r>
          </m:sup>
        </m:sSubSup>
      </m:oMath>
      <w:r>
        <w:t xml:space="preserve">, and colour coded by void fraction,</w:t>
      </w:r>
      <w:r>
        <w:t xml:space="preserve"> </w:t>
      </w:r>
      <m:oMath>
        <m:r>
          <m:t>ϕ</m:t>
        </m:r>
      </m:oMath>
      <w:r>
        <w:t xml:space="preserve">. Top performing 10 candidates</w:t>
      </w:r>
      <w:r>
        <w:t xml:space="preserve"> </w:t>
      </w:r>
      <w:r>
        <w:t xml:space="preserve">are represented by different symbols in the legend. (b) Relation between gravimetric (g/g) and</w:t>
      </w:r>
      <w:r>
        <w:t xml:space="preserve"> </w:t>
      </w:r>
      <w:r>
        <w:t xml:space="preserve">volumetric (g/cm</w:t>
      </w:r>
      <w:r>
        <w:rPr>
          <w:vertAlign w:val="superscript"/>
        </w:rPr>
        <w:t xml:space="preserve">3</w:t>
      </w:r>
      <w:r>
        <w:t xml:space="preserve">) D4 uptake for all MOFs at 298 K. Marker size represents PV while colour denotes</w:t>
      </w:r>
      <w:r>
        <w:t xml:space="preserve"> </w:t>
      </w:r>
      <m:oMath>
        <m:r>
          <m:t>ϕ</m:t>
        </m:r>
      </m:oMath>
      <w:r>
        <w:t xml:space="preserve">. Dashed line represents the gravimetric and volumetric uptake of benchmark</w:t>
      </w:r>
      <w:r>
        <w:t xml:space="preserve"> </w:t>
      </w:r>
      <w:r>
        <w:t xml:space="preserve">MIL-101(Cr)</w:t>
      </w:r>
      <w:hyperlink w:anchor="ref-gargiuloChromiumbasedMIL101Metal2019">
        <w:r>
          <w:rPr>
            <w:rStyle w:val="Hyperlink"/>
          </w:rPr>
          <w:t xml:space="preserve">[22]</w:t>
        </w:r>
      </w:hyperlink>
      <w:r>
        <w:t xml:space="preserve">. (c) The structure of our promising material</w:t>
      </w:r>
      <w:r>
        <w:t xml:space="preserve"> </w:t>
      </w:r>
      <w:r>
        <w:t xml:space="preserve">identified for D4 uptake, PCN-777. Zr, N, O, C, and H atoms are depicted in light blue, dark blue,</w:t>
      </w:r>
      <w:r>
        <w:t xml:space="preserve"> </w:t>
      </w:r>
      <w:r>
        <w:t xml:space="preserve">red, dark grey, and light grey, respectively.</w:t>
      </w:r>
    </w:p>
    <w:bookmarkEnd w:id="30"/>
    <w:bookmarkEnd w:id="31"/>
    <w:bookmarkStart w:id="41" w:name="results-and-discussion"/>
    <w:p>
      <w:pPr>
        <w:pStyle w:val="Heading1"/>
      </w:pPr>
      <w:r>
        <w:t xml:space="preserve">Results and discussion</w:t>
      </w:r>
    </w:p>
    <w:bookmarkStart w:id="32" w:name="pre-screening"/>
    <w:p>
      <w:pPr>
        <w:pStyle w:val="Heading2"/>
      </w:pPr>
      <w:r>
        <w:t xml:space="preserve">Pre-selection of hydrophobic MOFs</w:t>
      </w:r>
    </w:p>
    <w:p>
      <w:pPr>
        <w:pStyle w:val="FirstParagraph"/>
      </w:pPr>
      <w:r>
        <w:t xml:space="preserve">We used the CoRE-MOF 2019 database</w:t>
      </w:r>
      <w:r>
        <w:t xml:space="preserve"> </w:t>
      </w:r>
      <w:hyperlink w:anchor="ref-chungAdvancesUpdatesAnalytics2019">
        <w:r>
          <w:rPr>
            <w:rStyle w:val="Hyperlink"/>
          </w:rPr>
          <w:t xml:space="preserve">[30]</w:t>
        </w:r>
      </w:hyperlink>
      <w:r>
        <w:t xml:space="preserve"> </w:t>
      </w:r>
      <w:r>
        <w:t xml:space="preserve">(over 14 000 MOFs), recently</w:t>
      </w:r>
      <w:r>
        <w:t xml:space="preserve"> </w:t>
      </w:r>
      <w:r>
        <w:t xml:space="preserve">updated to remove solvent molecules and disordered structures, to which we also added further 29</w:t>
      </w:r>
      <w:r>
        <w:t xml:space="preserve"> </w:t>
      </w:r>
      <w:r>
        <w:t xml:space="preserve">well-known MOFs owing to their good chemical/thermal stability and permanent accessible porosity</w:t>
      </w:r>
      <w:r>
        <w:t xml:space="preserve"> </w:t>
      </w:r>
      <w:r>
        <w:t xml:space="preserve">(listed in tbl. </w:t>
      </w:r>
      <w:hyperlink w:anchor="tbl:extra-mofs">
        <w:r>
          <w:rPr>
            <w:rStyle w:val="Hyperlink"/>
          </w:rPr>
          <w:t xml:space="preserve">8</w:t>
        </w:r>
      </w:hyperlink>
      <w:r>
        <w:t xml:space="preserve"> </w:t>
      </w:r>
      <w:r>
        <w:t xml:space="preserve">SI). We first excluded all structures with PLDs lower than 6 Å, a</w:t>
      </w:r>
      <w:r>
        <w:t xml:space="preserve"> </w:t>
      </w:r>
      <w:r>
        <w:t xml:space="preserve">threshold selected as the average between the kinetic diameter of D4 (8.6 Å) and the effective</w:t>
      </w:r>
      <w:r>
        <w:t xml:space="preserve"> </w:t>
      </w:r>
      <w:r>
        <w:t xml:space="preserve">diameter of its constitutive inner Si-O ring (4.5 Å). A total of 1739 remaining non-disordered MOFs</w:t>
      </w:r>
      <w:r>
        <w:t xml:space="preserve"> </w:t>
      </w:r>
      <w:r>
        <w:t xml:space="preserve">were further considered, their geometric and textural properties, i.e. PV, SA, and</w:t>
      </w:r>
      <w:r>
        <w:t xml:space="preserve"> </w:t>
      </w:r>
      <m:oMath>
        <m:r>
          <m:t>ϕ</m:t>
        </m:r>
      </m:oMath>
      <w:r>
        <w:t xml:space="preserve">, as well</w:t>
      </w:r>
      <w:r>
        <w:t xml:space="preserve"> </w:t>
      </w:r>
      <w:r>
        <w:t xml:space="preserve">as their density (</w:t>
      </w:r>
      <m:oMath>
        <m:r>
          <m:t>ρ</m:t>
        </m:r>
      </m:oMath>
      <w:r>
        <w:t xml:space="preserve">) being summarized in fig. </w:t>
      </w:r>
      <w:hyperlink w:anchor="fig:d4-screening-geometric">
        <w:r>
          <w:rPr>
            <w:rStyle w:val="Hyperlink"/>
          </w:rPr>
          <w:t xml:space="preserve">5</w:t>
        </w:r>
      </w:hyperlink>
      <w:r>
        <w:t xml:space="preserve">.</w:t>
      </w:r>
    </w:p>
    <w:p>
      <w:pPr>
        <w:pStyle w:val="BodyText"/>
      </w:pPr>
      <w:r>
        <w:t xml:space="preserve">As siloxane-rich biogas streams often contain water vapour, the optimal D4 adsorbent should have a</w:t>
      </w:r>
      <w:r>
        <w:t xml:space="preserve"> </w:t>
      </w:r>
      <w:r>
        <w:t xml:space="preserve">relatively low water affinity to avoid competing adsorption. Moreover, hydrophobic MOFs are known to</w:t>
      </w:r>
      <w:r>
        <w:t xml:space="preserve"> </w:t>
      </w:r>
      <w:r>
        <w:t xml:space="preserve">possess increased resistance to the hydrolysis of the metal-linker bond</w:t>
      </w:r>
      <w:r>
        <w:t xml:space="preserve"> </w:t>
      </w:r>
      <w:hyperlink w:anchor="ref-burtchWaterStabilityAdsorption2014">
        <w:r>
          <w:rPr>
            <w:rStyle w:val="Hyperlink"/>
          </w:rPr>
          <w:t xml:space="preserve">[43]</w:t>
        </w:r>
      </w:hyperlink>
      <w:r>
        <w:t xml:space="preserve">,</w:t>
      </w:r>
      <w:r>
        <w:t xml:space="preserve"> </w:t>
      </w:r>
      <w:hyperlink w:anchor="ref-wuEnhancingStabilityMetalorganic2010">
        <w:r>
          <w:rPr>
            <w:rStyle w:val="Hyperlink"/>
          </w:rPr>
          <w:t xml:space="preserve">[44]</w:t>
        </w:r>
      </w:hyperlink>
      <w:r>
        <w:t xml:space="preserve">, alleviating long-term</w:t>
      </w:r>
      <w:r>
        <w:t xml:space="preserve"> </w:t>
      </w:r>
      <w:r>
        <w:t xml:space="preserve">water stability concerns. Therefore, we screened the water affinity of the 1739 MOFs by computing</w:t>
      </w:r>
      <w:r>
        <w:t xml:space="preserve"> </w:t>
      </w:r>
      <w:r>
        <w:t xml:space="preserve">their Henry coefficient of water (</w:t>
      </w:r>
      <m:oMath>
        <m:sSub>
          <m:e>
            <m:r>
              <m:t>K</m:t>
            </m:r>
          </m:e>
          <m:sub>
            <m:r>
              <m:t>H</m:t>
            </m:r>
            <m:r>
              <m:rPr>
                <m:sty m:val="p"/>
              </m:rPr>
              <m:t>,</m:t>
            </m:r>
            <m:sSub>
              <m:e>
                <m:r>
                  <m:t>H</m:t>
                </m:r>
              </m:e>
              <m:sub>
                <m:r>
                  <m:t>2</m:t>
                </m:r>
              </m:sub>
            </m:sSub>
            <m:r>
              <m:t>O</m:t>
            </m:r>
          </m:sub>
        </m:sSub>
      </m:oMath>
      <w:r>
        <w:t xml:space="preserve">) and the isosteric enthalpy of adsorption at</w:t>
      </w:r>
      <w:r>
        <w:t xml:space="preserve"> </w:t>
      </w:r>
      <w:r>
        <w:t xml:space="preserve">infinite dilution (</w:t>
      </w:r>
      <m:oMath>
        <m:r>
          <m:t>Δ</m:t>
        </m:r>
        <m:sSubSup>
          <m:e>
            <m:r>
              <m:t>H</m:t>
            </m:r>
          </m:e>
          <m:sub>
            <m:r>
              <m:t>s</m:t>
            </m:r>
            <m:r>
              <m:t>t</m:t>
            </m:r>
            <m:r>
              <m:rPr>
                <m:sty m:val="p"/>
              </m:rPr>
              <m:t>,</m:t>
            </m:r>
            <m:sSub>
              <m:e>
                <m:r>
                  <m:t>H</m:t>
                </m:r>
              </m:e>
              <m:sub>
                <m:r>
                  <m:t>2</m:t>
                </m:r>
              </m:sub>
            </m:sSub>
            <m:r>
              <m:t>O</m:t>
            </m:r>
          </m:sub>
          <m:sup>
            <m:r>
              <m:t>0</m:t>
            </m:r>
          </m:sup>
        </m:sSubSup>
      </m:oMath>
      <w:r>
        <w:t xml:space="preserve">) at 298 K using the Widom particle insertion method</w:t>
      </w:r>
      <w:r>
        <w:t xml:space="preserve"> </w:t>
      </w:r>
      <w:hyperlink w:anchor="X2d346866bcc9823a9d7e4bfee703306fc65f584">
        <w:r>
          <w:rPr>
            <w:rStyle w:val="Hyperlink"/>
          </w:rPr>
          <w:t xml:space="preserve">[33]</w:t>
        </w:r>
      </w:hyperlink>
      <w:r>
        <w:t xml:space="preserve">. This approach is generally applied in HTCS studies,</w:t>
      </w:r>
      <w:r>
        <w:t xml:space="preserve"> </w:t>
      </w:r>
      <w:r>
        <w:t xml:space="preserve">providing a quick way to gauge the hydrophobicity/hydrophilicity of MOFs</w:t>
      </w:r>
      <w:r>
        <w:t xml:space="preserve"> </w:t>
      </w:r>
      <w:hyperlink w:anchor="X2974c98552c720a1b130955a7f04c585bd28e7e">
        <w:r>
          <w:rPr>
            <w:rStyle w:val="Hyperlink"/>
          </w:rPr>
          <w:t xml:space="preserve">[35]</w:t>
        </w:r>
      </w:hyperlink>
      <w:r>
        <w:t xml:space="preserve">,</w:t>
      </w:r>
      <w:r>
        <w:t xml:space="preserve"> </w:t>
      </w:r>
      <w:hyperlink w:anchor="X45d27c7ed2ea1608a50c470991b9649e11bb3ef">
        <w:r>
          <w:rPr>
            <w:rStyle w:val="Hyperlink"/>
          </w:rPr>
          <w:t xml:space="preserve">[45]</w:t>
        </w:r>
      </w:hyperlink>
      <w:r>
        <w:t xml:space="preserve">. All the</w:t>
      </w:r>
      <w:r>
        <w:t xml:space="preserve"> </w:t>
      </w:r>
      <w:r>
        <w:t xml:space="preserve">computational details including the force fields used to describe both MOFs and water are provided</w:t>
      </w:r>
      <w:r>
        <w:t xml:space="preserve"> </w:t>
      </w:r>
      <w:r>
        <w:t xml:space="preserve">in the methodology section and SI. In the frame of biogas upgrading, an extremely hydrophobic</w:t>
      </w:r>
      <w:r>
        <w:t xml:space="preserve"> </w:t>
      </w:r>
      <w:r>
        <w:t xml:space="preserve">adsorbent is not required since the water content usually ranges from 38% to 85% relative humidity</w:t>
      </w:r>
      <w:r>
        <w:t xml:space="preserve"> </w:t>
      </w:r>
      <w:hyperlink w:anchor="ref-wangRecentAdvancesTechnologies2019">
        <w:r>
          <w:rPr>
            <w:rStyle w:val="Hyperlink"/>
          </w:rPr>
          <w:t xml:space="preserve">[4]</w:t>
        </w:r>
      </w:hyperlink>
      <w:r>
        <w:t xml:space="preserve">, therefore the following thresholds were applied to select</w:t>
      </w:r>
      <w:r>
        <w:t xml:space="preserve"> </w:t>
      </w:r>
      <w:r>
        <w:t xml:space="preserve">MOFs with moderate to high hydrophobicity:</w:t>
      </w:r>
      <w:r>
        <w:t xml:space="preserve"> </w:t>
      </w:r>
      <m:oMath>
        <m:sSub>
          <m:e>
            <m:r>
              <m:t>K</m:t>
            </m:r>
          </m:e>
          <m:sub>
            <m:r>
              <m:t>H</m:t>
            </m:r>
            <m:r>
              <m:rPr>
                <m:sty m:val="p"/>
              </m:rPr>
              <m:t>,</m:t>
            </m:r>
            <m:sSub>
              <m:e>
                <m:r>
                  <m:t>H</m:t>
                </m:r>
              </m:e>
              <m:sub>
                <m:r>
                  <m:t>2</m:t>
                </m:r>
              </m:sub>
            </m:sSub>
            <m:r>
              <m:t>O</m:t>
            </m:r>
          </m:sub>
        </m:sSub>
      </m:oMath>
      <w:r>
        <w:t xml:space="preserve"> </w:t>
      </w:r>
      <w:r>
        <w:t xml:space="preserve">&lt; 1 × 10</w:t>
      </w:r>
      <w:r>
        <w:rPr>
          <w:vertAlign w:val="superscript"/>
        </w:rPr>
        <w:t xml:space="preserve">−5</w:t>
      </w:r>
      <w:r>
        <w:t xml:space="preserve"> mol/kg/Pa and</w:t>
      </w:r>
      <w:r>
        <w:t xml:space="preserve"> </w:t>
      </w:r>
      <m:oMath>
        <m:r>
          <m:t>Δ</m:t>
        </m:r>
        <m:sSubSup>
          <m:e>
            <m:r>
              <m:t>H</m:t>
            </m:r>
          </m:e>
          <m:sub>
            <m:r>
              <m:t>s</m:t>
            </m:r>
            <m:r>
              <m:t>t</m:t>
            </m:r>
            <m:r>
              <m:rPr>
                <m:sty m:val="p"/>
              </m:rPr>
              <m:t>,</m:t>
            </m:r>
            <m:sSub>
              <m:e>
                <m:r>
                  <m:t>H</m:t>
                </m:r>
              </m:e>
              <m:sub>
                <m:r>
                  <m:t>2</m:t>
                </m:r>
              </m:sub>
            </m:sSub>
            <m:r>
              <m:t>O</m:t>
            </m:r>
          </m:sub>
          <m:sup>
            <m:r>
              <m:t>0</m:t>
            </m:r>
          </m:sup>
        </m:sSubSup>
      </m:oMath>
      <w:r>
        <w:t xml:space="preserve"> </w:t>
      </w:r>
      <w:r>
        <w:t xml:space="preserve">&lt; 33 kJ/mol (below the vaporization enthalpy of water ~40 kJ/mol)</w:t>
      </w:r>
      <w:r>
        <w:t xml:space="preserve"> </w:t>
      </w:r>
      <w:hyperlink w:anchor="ref-lemmonNISTStandardReference2018">
        <w:r>
          <w:rPr>
            <w:rStyle w:val="Hyperlink"/>
          </w:rPr>
          <w:t xml:space="preserve">[46]</w:t>
        </w:r>
      </w:hyperlink>
      <w:r>
        <w:t xml:space="preserve">. As a frame of reference, the highly hydrophobic ZIF-8 is</w:t>
      </w:r>
      <w:r>
        <w:t xml:space="preserve"> </w:t>
      </w:r>
      <w:r>
        <w:t xml:space="preserve">characterized by</w:t>
      </w:r>
      <w:r>
        <w:t xml:space="preserve"> </w:t>
      </w:r>
      <m:oMath>
        <m:sSub>
          <m:e>
            <m:r>
              <m:t>K</m:t>
            </m:r>
          </m:e>
          <m:sub>
            <m:r>
              <m:t>H</m:t>
            </m:r>
            <m:r>
              <m:rPr>
                <m:sty m:val="p"/>
              </m:rPr>
              <m:t>,</m:t>
            </m:r>
            <m:sSub>
              <m:e>
                <m:r>
                  <m:t>H</m:t>
                </m:r>
              </m:e>
              <m:sub>
                <m:r>
                  <m:t>2</m:t>
                </m:r>
              </m:sub>
            </m:sSub>
            <m:r>
              <m:t>O</m:t>
            </m:r>
          </m:sub>
        </m:sSub>
        <m:r>
          <m:rPr>
            <m:sty m:val="p"/>
          </m:rPr>
          <m:t>=</m:t>
        </m:r>
      </m:oMath>
      <w:r>
        <w:t xml:space="preserve"> </w:t>
      </w:r>
      <w:r>
        <w:t xml:space="preserve">2.5E-6 mol/kg/Pa and</w:t>
      </w:r>
      <w:r>
        <w:t xml:space="preserve"> </w:t>
      </w:r>
      <m:oMath>
        <m:r>
          <m:t>Δ</m:t>
        </m:r>
        <m:sSubSup>
          <m:e>
            <m:r>
              <m:t>H</m:t>
            </m:r>
          </m:e>
          <m:sub>
            <m:r>
              <m:t>s</m:t>
            </m:r>
            <m:r>
              <m:t>t</m:t>
            </m:r>
            <m:r>
              <m:rPr>
                <m:sty m:val="p"/>
              </m:rPr>
              <m:t>,</m:t>
            </m:r>
            <m:sSub>
              <m:e>
                <m:r>
                  <m:t>H</m:t>
                </m:r>
              </m:e>
              <m:sub>
                <m:r>
                  <m:t>2</m:t>
                </m:r>
              </m:sub>
            </m:sSub>
            <m:r>
              <m:t>O</m:t>
            </m:r>
          </m:sub>
          <m:sup>
            <m:r>
              <m:t>0</m:t>
            </m:r>
          </m:sup>
        </m:sSubSup>
        <m:r>
          <m:rPr>
            <m:sty m:val="p"/>
          </m:rPr>
          <m:t>=</m:t>
        </m:r>
      </m:oMath>
      <w:r>
        <w:t xml:space="preserve"> </w:t>
      </w:r>
      <w:r>
        <w:t xml:space="preserve">30 kJ/mol</w:t>
      </w:r>
      <w:r>
        <w:t xml:space="preserve"> </w:t>
      </w:r>
      <w:hyperlink w:anchor="X01390f9e138a0fe7241ebac2df8586fc8597eb2">
        <w:r>
          <w:rPr>
            <w:rStyle w:val="Hyperlink"/>
          </w:rPr>
          <w:t xml:space="preserve">[47]</w:t>
        </w:r>
      </w:hyperlink>
      <w:r>
        <w:t xml:space="preserve">. Overall, among the 1739 MOFs, 811 structures (47%</w:t>
      </w:r>
      <w:r>
        <w:t xml:space="preserve"> </w:t>
      </w:r>
      <w:r>
        <w:t xml:space="preserve">of our material library) were predicted to fulfill these two criteria. This hydrophobic MOF dataset</w:t>
      </w:r>
      <w:r>
        <w:t xml:space="preserve"> </w:t>
      </w:r>
      <w:r>
        <w:t xml:space="preserve">encompasses structures of density ranging from 0.24 g/cm</w:t>
      </w:r>
      <w:r>
        <w:rPr>
          <w:vertAlign w:val="superscript"/>
        </w:rPr>
        <w:t xml:space="preserve">3</w:t>
      </w:r>
      <w:r>
        <w:t xml:space="preserve"> </w:t>
      </w:r>
      <w:r>
        <w:t xml:space="preserve">to 2.04 g/cm</w:t>
      </w:r>
      <w:r>
        <w:rPr>
          <w:vertAlign w:val="superscript"/>
        </w:rPr>
        <w:t xml:space="preserve">3</w:t>
      </w:r>
      <w:r>
        <w:t xml:space="preserve"> </w:t>
      </w:r>
      <w:r>
        <w:t xml:space="preserve">and with a wide range of</w:t>
      </w:r>
      <w:r>
        <w:t xml:space="preserve"> </w:t>
      </w:r>
      <w:r>
        <w:t xml:space="preserve">geometric and textural features: 6 Å &lt; PLD &lt; 36 Å, 0.42 &lt;</w:t>
      </w:r>
      <w:r>
        <w:t xml:space="preserve"> </w:t>
      </w:r>
      <m:oMath>
        <m:r>
          <m:t>ϕ</m:t>
        </m:r>
      </m:oMath>
      <w:r>
        <w:t xml:space="preserve"> </w:t>
      </w:r>
      <w:r>
        <w:t xml:space="preserve">&lt; 0.90, 0.27 cm</w:t>
      </w:r>
      <w:r>
        <w:rPr>
          <w:vertAlign w:val="superscript"/>
        </w:rPr>
        <w:t xml:space="preserve">3</w:t>
      </w:r>
      <w:r>
        <w:t xml:space="preserve">/g &lt; PV &lt;</w:t>
      </w:r>
      <w:r>
        <w:t xml:space="preserve"> </w:t>
      </w:r>
      <w:r>
        <w:t xml:space="preserve">3.72 cm</w:t>
      </w:r>
      <w:r>
        <w:rPr>
          <w:vertAlign w:val="superscript"/>
        </w:rPr>
        <w:t xml:space="preserve">3</w:t>
      </w:r>
      <w:r>
        <w:t xml:space="preserve">/g and 320 m</w:t>
      </w:r>
      <w:r>
        <w:rPr>
          <w:vertAlign w:val="superscript"/>
        </w:rPr>
        <w:t xml:space="preserve">2</w:t>
      </w:r>
      <w:r>
        <w:t xml:space="preserve">/g &lt; SA &lt; 6700 m</w:t>
      </w:r>
      <w:r>
        <w:rPr>
          <w:vertAlign w:val="superscript"/>
        </w:rPr>
        <w:t xml:space="preserve">2</w:t>
      </w:r>
      <w:r>
        <w:t xml:space="preserve">/g, as shown in fig. </w:t>
      </w:r>
      <w:hyperlink w:anchor="fig:d4-screening-geometric">
        <w:r>
          <w:rPr>
            <w:rStyle w:val="Hyperlink"/>
          </w:rPr>
          <w:t xml:space="preserve">5</w:t>
        </w:r>
      </w:hyperlink>
      <w:r>
        <w:t xml:space="preserve">.</w:t>
      </w:r>
    </w:p>
    <w:bookmarkEnd w:id="32"/>
    <w:bookmarkStart w:id="36" w:name="d4-screening"/>
    <w:p>
      <w:pPr>
        <w:pStyle w:val="Heading2"/>
      </w:pPr>
      <w:r>
        <w:t xml:space="preserve">Prediction of the D4 uptake performance for the hydrophobic MOFs</w:t>
      </w:r>
    </w:p>
    <w:p>
      <w:pPr>
        <w:pStyle w:val="FirstParagraph"/>
      </w:pPr>
      <w:r>
        <w:t xml:space="preserve">The D4 adsorption uptakes for the selected MOFs were simulated using single point continuous</w:t>
      </w:r>
      <w:r>
        <w:t xml:space="preserve"> </w:t>
      </w:r>
      <w:r>
        <w:t xml:space="preserve">fractional component Monte Carlo (CFCMC)</w:t>
      </w:r>
      <w:r>
        <w:t xml:space="preserve"> </w:t>
      </w:r>
      <w:hyperlink w:anchor="ref-rahbariRecentAdvancesContinuous2020">
        <w:r>
          <w:rPr>
            <w:rStyle w:val="Hyperlink"/>
          </w:rPr>
          <w:t xml:space="preserve">[48]</w:t>
        </w:r>
      </w:hyperlink>
      <w:r>
        <w:t xml:space="preserve">. In these</w:t>
      </w:r>
      <w:r>
        <w:t xml:space="preserve"> </w:t>
      </w:r>
      <w:r>
        <w:t xml:space="preserve">calculations, the framework atoms were maintained fixed in their crystallographic positions and D4</w:t>
      </w:r>
      <w:r>
        <w:t xml:space="preserve"> </w:t>
      </w:r>
      <w:r>
        <w:t xml:space="preserve">was modelled as a semi-flexible molecule with its Si-O ring maintained rigid. Full computational</w:t>
      </w:r>
      <w:r>
        <w:t xml:space="preserve"> </w:t>
      </w:r>
      <w:r>
        <w:t xml:space="preserve">details, including force field parameters and partial charges for D4 are available in the</w:t>
      </w:r>
      <w:r>
        <w:t xml:space="preserve"> </w:t>
      </w:r>
      <w:r>
        <w:t xml:space="preserve">methodology section and SI.</w:t>
      </w:r>
    </w:p>
    <w:bookmarkStart w:id="33" w:name="tbl:top10"/>
    <w:p>
      <w:pPr>
        <w:pStyle w:val="TableCaption"/>
      </w:pPr>
      <w:r>
        <w:t xml:space="preserve">Table 1: Top 10 promising hydrophobic MOF materials identified for D4 uptake at 298 K.</w:t>
      </w:r>
    </w:p>
    <w:tbl>
      <w:tblPr>
        <w:tblStyle w:val="Table"/>
        <w:tblW w:type="pct" w:w="0.0"/>
        <w:tblLook w:firstRow="0" w:lastRow="0" w:firstColumn="0" w:lastColumn="0" w:noHBand="0" w:noVBand="0" w:val="0000"/>
        <w:tblCaption w:val="Table 1: Top 10 promising hydrophobic MOF materials identified for D4 uptake at 298 K."/>
      </w:tblPr>
      <w:tblGrid/>
      <w:tr>
        <w:tc>
          <w:p>
            <w:pPr>
              <w:pStyle w:val="Compact"/>
              <w:jc w:val="center"/>
            </w:pPr>
            <w:r>
              <w:t xml:space="preserve">MOF</w:t>
            </w:r>
          </w:p>
        </w:tc>
        <w:tc>
          <w:p>
            <w:pPr>
              <w:pStyle w:val="Compact"/>
              <w:jc w:val="center"/>
            </w:pPr>
            <w:r>
              <w:t xml:space="preserve">PLD</w:t>
            </w:r>
          </w:p>
        </w:tc>
        <w:tc>
          <w:p>
            <w:pPr>
              <w:pStyle w:val="Compact"/>
              <w:jc w:val="center"/>
            </w:pPr>
            <w:r>
              <w:t xml:space="preserve">SA</w:t>
            </w:r>
          </w:p>
        </w:tc>
        <w:tc>
          <w:p>
            <w:pPr>
              <w:pStyle w:val="Compact"/>
              <w:jc w:val="center"/>
            </w:pPr>
            <m:oMath>
              <m:r>
                <m:t>ρ</m:t>
              </m:r>
            </m:oMath>
          </w:p>
        </w:tc>
        <w:tc>
          <w:p>
            <w:pPr>
              <w:pStyle w:val="Compact"/>
              <w:jc w:val="center"/>
            </w:pPr>
            <w:r>
              <w:t xml:space="preserve">PV</w:t>
            </w:r>
          </w:p>
        </w:tc>
        <w:tc>
          <w:p>
            <w:pPr>
              <w:pStyle w:val="Compact"/>
              <w:jc w:val="center"/>
            </w:pPr>
            <m:oMath>
              <m:r>
                <m:t>ϕ</m:t>
              </m:r>
            </m:oMath>
          </w:p>
        </w:tc>
        <w:tc>
          <w:p>
            <w:pPr>
              <w:pStyle w:val="Compact"/>
              <w:jc w:val="center"/>
            </w:pPr>
            <m:oMath>
              <m:sSub>
                <m:e>
                  <m:r>
                    <m:t>K</m:t>
                  </m:r>
                </m:e>
                <m:sub>
                  <m:r>
                    <m:t>H</m:t>
                  </m:r>
                  <m:r>
                    <m:rPr>
                      <m:sty m:val="p"/>
                    </m:rPr>
                    <m:t>,</m:t>
                  </m:r>
                  <m:sSub>
                    <m:e>
                      <m:r>
                        <m:t>H</m:t>
                      </m:r>
                    </m:e>
                    <m:sub>
                      <m:r>
                        <m:t>2</m:t>
                      </m:r>
                    </m:sub>
                  </m:sSub>
                  <m:r>
                    <m:t>O</m:t>
                  </m:r>
                </m:sub>
              </m:sSub>
            </m:oMath>
          </w:p>
        </w:tc>
        <w:tc>
          <w:p>
            <w:pPr>
              <w:pStyle w:val="Compact"/>
              <w:jc w:val="center"/>
            </w:pPr>
            <m:oMath>
              <m:r>
                <m:t>Δ</m:t>
              </m:r>
              <m:sSubSup>
                <m:e>
                  <m:r>
                    <m:t>H</m:t>
                  </m:r>
                </m:e>
                <m:sub>
                  <m:r>
                    <m:t>s</m:t>
                  </m:r>
                  <m:r>
                    <m:t>t</m:t>
                  </m:r>
                  <m:r>
                    <m:rPr>
                      <m:sty m:val="p"/>
                    </m:rPr>
                    <m:t>,</m:t>
                  </m:r>
                  <m:sSub>
                    <m:e>
                      <m:r>
                        <m:t>H</m:t>
                      </m:r>
                    </m:e>
                    <m:sub>
                      <m:r>
                        <m:t>2</m:t>
                      </m:r>
                    </m:sub>
                  </m:sSub>
                  <m:r>
                    <m:t>O</m:t>
                  </m:r>
                </m:sub>
                <m:sup>
                  <m:r>
                    <m:t>0</m:t>
                  </m:r>
                </m:sup>
              </m:sSubSup>
            </m:oMath>
          </w:p>
        </w:tc>
        <w:tc>
          <w:p>
            <w:pPr>
              <w:pStyle w:val="Compact"/>
              <w:jc w:val="center"/>
            </w:pPr>
            <w:r>
              <w:t xml:space="preserve">Gravimetric D4</w:t>
            </w:r>
          </w:p>
        </w:tc>
        <w:tc>
          <w:p>
            <w:pPr>
              <w:pStyle w:val="Compact"/>
              <w:jc w:val="center"/>
            </w:pPr>
            <w:r>
              <w:t xml:space="preserve">Volumetric D4</w:t>
            </w:r>
          </w:p>
        </w:tc>
      </w:tr>
      <w:tr>
        <w:tc>
          <w:p/>
        </w:tc>
        <w:tc>
          <w:p>
            <w:pPr>
              <w:pStyle w:val="Compact"/>
              <w:jc w:val="center"/>
            </w:pPr>
            <w:r>
              <w:t xml:space="preserve">(Å)</w:t>
            </w:r>
          </w:p>
        </w:tc>
        <w:tc>
          <w:p>
            <w:pPr>
              <w:pStyle w:val="Compact"/>
              <w:jc w:val="center"/>
            </w:pPr>
            <w:r>
              <w:t xml:space="preserve">(m/g)</w:t>
            </w:r>
          </w:p>
        </w:tc>
        <w:tc>
          <w:p>
            <w:pPr>
              <w:pStyle w:val="Compact"/>
              <w:jc w:val="center"/>
            </w:pPr>
            <w:r>
              <w:t xml:space="preserve">(g/cm</w:t>
            </w:r>
            <w:r>
              <w:rPr>
                <w:vertAlign w:val="superscript"/>
              </w:rPr>
              <w:t xml:space="preserve">3</w:t>
            </w:r>
            <w:r>
              <w:t xml:space="preserve">)</w:t>
            </w:r>
          </w:p>
        </w:tc>
        <w:tc>
          <w:p>
            <w:pPr>
              <w:pStyle w:val="Compact"/>
              <w:jc w:val="center"/>
            </w:pPr>
            <w:r>
              <w:t xml:space="preserve">(cm</w:t>
            </w:r>
            <w:r>
              <w:rPr>
                <w:vertAlign w:val="superscript"/>
              </w:rPr>
              <w:t xml:space="preserve">3</w:t>
            </w:r>
            <w:r>
              <w:t xml:space="preserve">/g)</w:t>
            </w:r>
          </w:p>
        </w:tc>
        <w:tc>
          <w:p/>
        </w:tc>
        <w:tc>
          <w:p>
            <w:pPr>
              <w:pStyle w:val="Compact"/>
              <w:jc w:val="center"/>
            </w:pPr>
            <w:r>
              <w:t xml:space="preserve">(mol/kg/Pa)</w:t>
            </w:r>
          </w:p>
        </w:tc>
        <w:tc>
          <w:p>
            <w:pPr>
              <w:pStyle w:val="Compact"/>
              <w:jc w:val="center"/>
            </w:pPr>
            <w:r>
              <w:t xml:space="preserve">(kJ/mol)</w:t>
            </w:r>
          </w:p>
        </w:tc>
        <w:tc>
          <w:p>
            <w:pPr>
              <w:pStyle w:val="Compact"/>
              <w:jc w:val="center"/>
            </w:pPr>
            <w:r>
              <w:t xml:space="preserve">uptake (g/g)</w:t>
            </w:r>
          </w:p>
        </w:tc>
        <w:tc>
          <w:p>
            <w:pPr>
              <w:pStyle w:val="Compact"/>
              <w:jc w:val="center"/>
            </w:pPr>
            <w:r>
              <w:t xml:space="preserve">uptake (g/cm</w:t>
            </w:r>
            <w:r>
              <w:rPr>
                <w:vertAlign w:val="superscript"/>
              </w:rPr>
              <w:t xml:space="preserve">3</w:t>
            </w:r>
            <w:r>
              <w:t xml:space="preserve">)</w:t>
            </w:r>
          </w:p>
        </w:tc>
      </w:tr>
      <w:tr>
        <w:tc>
          <w:p>
            <w:pPr>
              <w:pStyle w:val="Compact"/>
              <w:jc w:val="center"/>
            </w:pPr>
            <w:r>
              <w:t xml:space="preserve">FOTNIN (PCN-777)</w:t>
            </w:r>
          </w:p>
        </w:tc>
        <w:tc>
          <w:p>
            <w:pPr>
              <w:pStyle w:val="Compact"/>
              <w:jc w:val="center"/>
            </w:pPr>
            <w:r>
              <w:t xml:space="preserve">28.36</w:t>
            </w:r>
          </w:p>
        </w:tc>
        <w:tc>
          <w:p>
            <w:pPr>
              <w:pStyle w:val="Compact"/>
              <w:jc w:val="center"/>
            </w:pPr>
            <w:r>
              <w:t xml:space="preserve">2990</w:t>
            </w:r>
          </w:p>
        </w:tc>
        <w:tc>
          <w:p>
            <w:pPr>
              <w:pStyle w:val="Compact"/>
              <w:jc w:val="center"/>
            </w:pPr>
            <w:r>
              <w:t xml:space="preserve">0.27</w:t>
            </w:r>
          </w:p>
        </w:tc>
        <w:tc>
          <w:p>
            <w:pPr>
              <w:pStyle w:val="Compact"/>
              <w:jc w:val="center"/>
            </w:pPr>
            <w:r>
              <w:t xml:space="preserve">3.31</w:t>
            </w:r>
          </w:p>
        </w:tc>
        <w:tc>
          <w:p>
            <w:pPr>
              <w:pStyle w:val="Compact"/>
              <w:jc w:val="center"/>
            </w:pPr>
            <w:r>
              <w:t xml:space="preserve">0.90</w:t>
            </w:r>
          </w:p>
        </w:tc>
        <w:tc>
          <w:p>
            <w:pPr>
              <w:pStyle w:val="Compact"/>
              <w:jc w:val="center"/>
            </w:pPr>
            <m:oMath>
              <m:r>
                <m:t>2.80</m:t>
              </m:r>
              <m:r>
                <m:rPr>
                  <m:sty m:val="p"/>
                </m:rPr>
                <m:t>×</m:t>
              </m:r>
              <m:sSup>
                <m:e>
                  <m:r>
                    <m:t>10</m:t>
                  </m:r>
                </m:e>
                <m:sup>
                  <m:r>
                    <m:rPr>
                      <m:sty m:val="p"/>
                    </m:rPr>
                    <m:t>−</m:t>
                  </m:r>
                  <m:r>
                    <m:t>6</m:t>
                  </m:r>
                </m:sup>
              </m:sSup>
            </m:oMath>
          </w:p>
        </w:tc>
        <w:tc>
          <w:p>
            <w:pPr>
              <w:pStyle w:val="Compact"/>
              <w:jc w:val="center"/>
            </w:pPr>
            <w:r>
              <w:t xml:space="preserve">7.82</w:t>
            </w:r>
          </w:p>
        </w:tc>
        <w:tc>
          <w:p>
            <w:pPr>
              <w:pStyle w:val="Compact"/>
              <w:jc w:val="center"/>
            </w:pPr>
            <w:r>
              <w:t xml:space="preserve">2.68</w:t>
            </w:r>
          </w:p>
        </w:tc>
        <w:tc>
          <w:p>
            <w:pPr>
              <w:pStyle w:val="Compact"/>
              <w:jc w:val="center"/>
            </w:pPr>
            <w:r>
              <w:t xml:space="preserve">0.72</w:t>
            </w:r>
          </w:p>
        </w:tc>
      </w:tr>
      <w:tr>
        <w:tc>
          <w:p>
            <w:pPr>
              <w:pStyle w:val="Compact"/>
              <w:jc w:val="center"/>
            </w:pPr>
            <w:r>
              <w:t xml:space="preserve">RUTNOK</w:t>
            </w:r>
          </w:p>
        </w:tc>
        <w:tc>
          <w:p>
            <w:pPr>
              <w:pStyle w:val="Compact"/>
              <w:jc w:val="center"/>
            </w:pPr>
            <w:r>
              <w:t xml:space="preserve">14.65</w:t>
            </w:r>
          </w:p>
        </w:tc>
        <w:tc>
          <w:p>
            <w:pPr>
              <w:pStyle w:val="Compact"/>
              <w:jc w:val="center"/>
            </w:pPr>
            <w:r>
              <w:t xml:space="preserve">6200</w:t>
            </w:r>
          </w:p>
        </w:tc>
        <w:tc>
          <w:p>
            <w:pPr>
              <w:pStyle w:val="Compact"/>
              <w:jc w:val="center"/>
            </w:pPr>
            <w:r>
              <w:t xml:space="preserve">0.24</w:t>
            </w:r>
          </w:p>
        </w:tc>
        <w:tc>
          <w:p>
            <w:pPr>
              <w:pStyle w:val="Compact"/>
              <w:jc w:val="center"/>
            </w:pPr>
            <w:r>
              <w:t xml:space="preserve">3.72</w:t>
            </w:r>
          </w:p>
        </w:tc>
        <w:tc>
          <w:p>
            <w:pPr>
              <w:pStyle w:val="Compact"/>
              <w:jc w:val="center"/>
            </w:pPr>
            <w:r>
              <w:t xml:space="preserve">0.90</w:t>
            </w:r>
          </w:p>
        </w:tc>
        <w:tc>
          <w:p>
            <w:pPr>
              <w:pStyle w:val="Compact"/>
              <w:jc w:val="center"/>
            </w:pPr>
            <m:oMath>
              <m:r>
                <m:t>6.70</m:t>
              </m:r>
              <m:r>
                <m:rPr>
                  <m:sty m:val="p"/>
                </m:rPr>
                <m:t>×</m:t>
              </m:r>
              <m:sSup>
                <m:e>
                  <m:r>
                    <m:t>10</m:t>
                  </m:r>
                </m:e>
                <m:sup>
                  <m:r>
                    <m:rPr>
                      <m:sty m:val="p"/>
                    </m:rPr>
                    <m:t>−</m:t>
                  </m:r>
                  <m:r>
                    <m:t>6</m:t>
                  </m:r>
                </m:sup>
              </m:sSup>
            </m:oMath>
          </w:p>
        </w:tc>
        <w:tc>
          <w:p>
            <w:pPr>
              <w:pStyle w:val="Compact"/>
              <w:jc w:val="center"/>
            </w:pPr>
            <w:r>
              <w:t xml:space="preserve">14.81</w:t>
            </w:r>
          </w:p>
        </w:tc>
        <w:tc>
          <w:p>
            <w:pPr>
              <w:pStyle w:val="Compact"/>
              <w:jc w:val="center"/>
            </w:pPr>
            <w:r>
              <w:t xml:space="preserve">2.57</w:t>
            </w:r>
          </w:p>
        </w:tc>
        <w:tc>
          <w:p>
            <w:pPr>
              <w:pStyle w:val="Compact"/>
              <w:jc w:val="center"/>
            </w:pPr>
            <w:r>
              <w:t xml:space="preserve">0.62</w:t>
            </w:r>
          </w:p>
        </w:tc>
      </w:tr>
      <w:tr>
        <w:tc>
          <w:p>
            <w:pPr>
              <w:pStyle w:val="Compact"/>
              <w:jc w:val="center"/>
            </w:pPr>
            <w:r>
              <w:t xml:space="preserve">CUSYAR</w:t>
            </w:r>
          </w:p>
        </w:tc>
        <w:tc>
          <w:p>
            <w:pPr>
              <w:pStyle w:val="Compact"/>
              <w:jc w:val="center"/>
            </w:pPr>
            <w:r>
              <w:t xml:space="preserve">12.18</w:t>
            </w:r>
          </w:p>
        </w:tc>
        <w:tc>
          <w:p>
            <w:pPr>
              <w:pStyle w:val="Compact"/>
              <w:jc w:val="center"/>
            </w:pPr>
            <w:r>
              <w:t xml:space="preserve">5700</w:t>
            </w:r>
          </w:p>
        </w:tc>
        <w:tc>
          <w:p>
            <w:pPr>
              <w:pStyle w:val="Compact"/>
              <w:jc w:val="center"/>
            </w:pPr>
            <w:r>
              <w:t xml:space="preserve">0.25</w:t>
            </w:r>
          </w:p>
        </w:tc>
        <w:tc>
          <w:p>
            <w:pPr>
              <w:pStyle w:val="Compact"/>
              <w:jc w:val="center"/>
            </w:pPr>
            <w:r>
              <w:t xml:space="preserve">3.65</w:t>
            </w:r>
          </w:p>
        </w:tc>
        <w:tc>
          <w:p>
            <w:pPr>
              <w:pStyle w:val="Compact"/>
              <w:jc w:val="center"/>
            </w:pPr>
            <w:r>
              <w:t xml:space="preserve">0.90</w:t>
            </w:r>
          </w:p>
        </w:tc>
        <w:tc>
          <w:p>
            <w:pPr>
              <w:pStyle w:val="Compact"/>
              <w:jc w:val="center"/>
            </w:pPr>
            <m:oMath>
              <m:r>
                <m:t>3.42</m:t>
              </m:r>
              <m:r>
                <m:rPr>
                  <m:sty m:val="p"/>
                </m:rPr>
                <m:t>×</m:t>
              </m:r>
              <m:sSup>
                <m:e>
                  <m:r>
                    <m:t>10</m:t>
                  </m:r>
                </m:e>
                <m:sup>
                  <m:r>
                    <m:rPr>
                      <m:sty m:val="p"/>
                    </m:rPr>
                    <m:t>−</m:t>
                  </m:r>
                  <m:r>
                    <m:t>6</m:t>
                  </m:r>
                </m:sup>
              </m:sSup>
            </m:oMath>
          </w:p>
        </w:tc>
        <w:tc>
          <w:p>
            <w:pPr>
              <w:pStyle w:val="Compact"/>
              <w:jc w:val="center"/>
            </w:pPr>
            <w:r>
              <w:t xml:space="preserve">8.15</w:t>
            </w:r>
          </w:p>
        </w:tc>
        <w:tc>
          <w:p>
            <w:pPr>
              <w:pStyle w:val="Compact"/>
              <w:jc w:val="center"/>
            </w:pPr>
            <w:r>
              <w:t xml:space="preserve">2.35</w:t>
            </w:r>
          </w:p>
        </w:tc>
        <w:tc>
          <w:p>
            <w:pPr>
              <w:pStyle w:val="Compact"/>
              <w:jc w:val="center"/>
            </w:pPr>
            <w:r>
              <w:t xml:space="preserve">0.59</w:t>
            </w:r>
          </w:p>
        </w:tc>
      </w:tr>
      <w:tr>
        <w:tc>
          <w:p>
            <w:pPr>
              <w:pStyle w:val="Compact"/>
              <w:jc w:val="center"/>
            </w:pPr>
            <w:r>
              <w:t xml:space="preserve">WUHDAG</w:t>
            </w:r>
          </w:p>
        </w:tc>
        <w:tc>
          <w:p>
            <w:pPr>
              <w:pStyle w:val="Compact"/>
              <w:jc w:val="center"/>
            </w:pPr>
            <w:r>
              <w:t xml:space="preserve">10.50</w:t>
            </w:r>
          </w:p>
        </w:tc>
        <w:tc>
          <w:p>
            <w:pPr>
              <w:pStyle w:val="Compact"/>
              <w:jc w:val="center"/>
            </w:pPr>
            <w:r>
              <w:t xml:space="preserve">5500</w:t>
            </w:r>
          </w:p>
        </w:tc>
        <w:tc>
          <w:p>
            <w:pPr>
              <w:pStyle w:val="Compact"/>
              <w:jc w:val="center"/>
            </w:pPr>
            <w:r>
              <w:t xml:space="preserve">0.29</w:t>
            </w:r>
          </w:p>
        </w:tc>
        <w:tc>
          <w:p>
            <w:pPr>
              <w:pStyle w:val="Compact"/>
              <w:jc w:val="center"/>
            </w:pPr>
            <w:r>
              <w:t xml:space="preserve">2.99</w:t>
            </w:r>
          </w:p>
        </w:tc>
        <w:tc>
          <w:p>
            <w:pPr>
              <w:pStyle w:val="Compact"/>
              <w:jc w:val="center"/>
            </w:pPr>
            <w:r>
              <w:t xml:space="preserve">0.87</w:t>
            </w:r>
          </w:p>
        </w:tc>
        <w:tc>
          <w:p>
            <w:pPr>
              <w:pStyle w:val="Compact"/>
              <w:jc w:val="center"/>
            </w:pPr>
            <m:oMath>
              <m:r>
                <m:t>4.69</m:t>
              </m:r>
              <m:r>
                <m:rPr>
                  <m:sty m:val="p"/>
                </m:rPr>
                <m:t>×</m:t>
              </m:r>
              <m:sSup>
                <m:e>
                  <m:r>
                    <m:t>10</m:t>
                  </m:r>
                </m:e>
                <m:sup>
                  <m:r>
                    <m:rPr>
                      <m:sty m:val="p"/>
                    </m:rPr>
                    <m:t>−</m:t>
                  </m:r>
                  <m:r>
                    <m:t>6</m:t>
                  </m:r>
                </m:sup>
              </m:sSup>
            </m:oMath>
          </w:p>
        </w:tc>
        <w:tc>
          <w:p>
            <w:pPr>
              <w:pStyle w:val="Compact"/>
              <w:jc w:val="center"/>
            </w:pPr>
            <w:r>
              <w:t xml:space="preserve">16.28</w:t>
            </w:r>
          </w:p>
        </w:tc>
        <w:tc>
          <w:p>
            <w:pPr>
              <w:pStyle w:val="Compact"/>
              <w:jc w:val="center"/>
            </w:pPr>
            <w:r>
              <w:t xml:space="preserve">2.01</w:t>
            </w:r>
          </w:p>
        </w:tc>
        <w:tc>
          <w:p>
            <w:pPr>
              <w:pStyle w:val="Compact"/>
              <w:jc w:val="center"/>
            </w:pPr>
            <w:r>
              <w:t xml:space="preserve">0.58</w:t>
            </w:r>
          </w:p>
        </w:tc>
      </w:tr>
      <w:tr>
        <w:tc>
          <w:p>
            <w:pPr>
              <w:pStyle w:val="Compact"/>
              <w:jc w:val="center"/>
            </w:pPr>
            <w:r>
              <w:t xml:space="preserve">HOHMEX</w:t>
            </w:r>
          </w:p>
        </w:tc>
        <w:tc>
          <w:p>
            <w:pPr>
              <w:pStyle w:val="Compact"/>
              <w:jc w:val="center"/>
            </w:pPr>
            <w:r>
              <w:t xml:space="preserve">14.89</w:t>
            </w:r>
          </w:p>
        </w:tc>
        <w:tc>
          <w:p>
            <w:pPr>
              <w:pStyle w:val="Compact"/>
              <w:jc w:val="center"/>
            </w:pPr>
            <w:r>
              <w:t xml:space="preserve">5000</w:t>
            </w:r>
          </w:p>
        </w:tc>
        <w:tc>
          <w:p>
            <w:pPr>
              <w:pStyle w:val="Compact"/>
              <w:jc w:val="center"/>
            </w:pPr>
            <w:r>
              <w:t xml:space="preserve">0.32</w:t>
            </w:r>
          </w:p>
        </w:tc>
        <w:tc>
          <w:p>
            <w:pPr>
              <w:pStyle w:val="Compact"/>
              <w:jc w:val="center"/>
            </w:pPr>
            <w:r>
              <w:t xml:space="preserve">2.74</w:t>
            </w:r>
          </w:p>
        </w:tc>
        <w:tc>
          <w:p>
            <w:pPr>
              <w:pStyle w:val="Compact"/>
              <w:jc w:val="center"/>
            </w:pPr>
            <w:r>
              <w:t xml:space="preserve">0.87</w:t>
            </w:r>
          </w:p>
        </w:tc>
        <w:tc>
          <w:p>
            <w:pPr>
              <w:pStyle w:val="Compact"/>
              <w:jc w:val="center"/>
            </w:pPr>
            <m:oMath>
              <m:r>
                <m:t>4.66</m:t>
              </m:r>
              <m:r>
                <m:rPr>
                  <m:sty m:val="p"/>
                </m:rPr>
                <m:t>×</m:t>
              </m:r>
              <m:sSup>
                <m:e>
                  <m:r>
                    <m:t>10</m:t>
                  </m:r>
                </m:e>
                <m:sup>
                  <m:r>
                    <m:rPr>
                      <m:sty m:val="p"/>
                    </m:rPr>
                    <m:t>−</m:t>
                  </m:r>
                  <m:r>
                    <m:t>6</m:t>
                  </m:r>
                </m:sup>
              </m:sSup>
            </m:oMath>
          </w:p>
        </w:tc>
        <w:tc>
          <w:p>
            <w:pPr>
              <w:pStyle w:val="Compact"/>
              <w:jc w:val="center"/>
            </w:pPr>
            <w:r>
              <w:t xml:space="preserve">13.24</w:t>
            </w:r>
          </w:p>
        </w:tc>
        <w:tc>
          <w:p>
            <w:pPr>
              <w:pStyle w:val="Compact"/>
              <w:jc w:val="center"/>
            </w:pPr>
            <w:r>
              <w:t xml:space="preserve">1.97</w:t>
            </w:r>
          </w:p>
        </w:tc>
        <w:tc>
          <w:p>
            <w:pPr>
              <w:pStyle w:val="Compact"/>
              <w:jc w:val="center"/>
            </w:pPr>
            <w:r>
              <w:t xml:space="preserve">0.63</w:t>
            </w:r>
          </w:p>
        </w:tc>
      </w:tr>
      <w:tr>
        <w:tc>
          <w:p>
            <w:pPr>
              <w:pStyle w:val="Compact"/>
              <w:jc w:val="center"/>
            </w:pPr>
            <w:r>
              <w:t xml:space="preserve">ECOKAJ</w:t>
            </w:r>
          </w:p>
        </w:tc>
        <w:tc>
          <w:p>
            <w:pPr>
              <w:pStyle w:val="Compact"/>
              <w:jc w:val="center"/>
            </w:pPr>
            <w:r>
              <w:t xml:space="preserve">17.58</w:t>
            </w:r>
          </w:p>
        </w:tc>
        <w:tc>
          <w:p>
            <w:pPr>
              <w:pStyle w:val="Compact"/>
              <w:jc w:val="center"/>
            </w:pPr>
            <w:r>
              <w:t xml:space="preserve">3600</w:t>
            </w:r>
          </w:p>
        </w:tc>
        <w:tc>
          <w:p>
            <w:pPr>
              <w:pStyle w:val="Compact"/>
              <w:jc w:val="center"/>
            </w:pPr>
            <w:r>
              <w:t xml:space="preserve">0.33</w:t>
            </w:r>
          </w:p>
        </w:tc>
        <w:tc>
          <w:p>
            <w:pPr>
              <w:pStyle w:val="Compact"/>
              <w:jc w:val="center"/>
            </w:pPr>
            <w:r>
              <w:t xml:space="preserve">2.68</w:t>
            </w:r>
          </w:p>
        </w:tc>
        <w:tc>
          <w:p>
            <w:pPr>
              <w:pStyle w:val="Compact"/>
              <w:jc w:val="center"/>
            </w:pPr>
            <w:r>
              <w:t xml:space="preserve">0.87</w:t>
            </w:r>
          </w:p>
        </w:tc>
        <w:tc>
          <w:p>
            <w:pPr>
              <w:pStyle w:val="Compact"/>
              <w:jc w:val="center"/>
            </w:pPr>
            <m:oMath>
              <m:r>
                <m:t>6.89</m:t>
              </m:r>
              <m:r>
                <m:rPr>
                  <m:sty m:val="p"/>
                </m:rPr>
                <m:t>×</m:t>
              </m:r>
              <m:sSup>
                <m:e>
                  <m:r>
                    <m:t>10</m:t>
                  </m:r>
                </m:e>
                <m:sup>
                  <m:r>
                    <m:rPr>
                      <m:sty m:val="p"/>
                    </m:rPr>
                    <m:t>−</m:t>
                  </m:r>
                  <m:r>
                    <m:t>6</m:t>
                  </m:r>
                </m:sup>
              </m:sSup>
            </m:oMath>
          </w:p>
        </w:tc>
        <w:tc>
          <w:p>
            <w:pPr>
              <w:pStyle w:val="Compact"/>
              <w:jc w:val="center"/>
            </w:pPr>
            <w:r>
              <w:t xml:space="preserve">17.20</w:t>
            </w:r>
          </w:p>
        </w:tc>
        <w:tc>
          <w:p>
            <w:pPr>
              <w:pStyle w:val="Compact"/>
              <w:jc w:val="center"/>
            </w:pPr>
            <w:r>
              <w:t xml:space="preserve">1.97</w:t>
            </w:r>
          </w:p>
        </w:tc>
        <w:tc>
          <w:p>
            <w:pPr>
              <w:pStyle w:val="Compact"/>
              <w:jc w:val="center"/>
            </w:pPr>
            <w:r>
              <w:t xml:space="preserve">0.65</w:t>
            </w:r>
          </w:p>
        </w:tc>
      </w:tr>
      <w:tr>
        <w:tc>
          <w:p>
            <w:pPr>
              <w:pStyle w:val="Compact"/>
              <w:jc w:val="center"/>
            </w:pPr>
            <w:r>
              <w:t xml:space="preserve">DAJWET</w:t>
            </w:r>
          </w:p>
        </w:tc>
        <w:tc>
          <w:p>
            <w:pPr>
              <w:pStyle w:val="Compact"/>
              <w:jc w:val="center"/>
            </w:pPr>
            <w:r>
              <w:t xml:space="preserve">26.59</w:t>
            </w:r>
          </w:p>
        </w:tc>
        <w:tc>
          <w:p>
            <w:pPr>
              <w:pStyle w:val="Compact"/>
              <w:jc w:val="center"/>
            </w:pPr>
            <w:r>
              <w:t xml:space="preserve">5000</w:t>
            </w:r>
          </w:p>
        </w:tc>
        <w:tc>
          <w:p>
            <w:pPr>
              <w:pStyle w:val="Compact"/>
              <w:jc w:val="center"/>
            </w:pPr>
            <w:r>
              <w:t xml:space="preserve">0.28</w:t>
            </w:r>
          </w:p>
        </w:tc>
        <w:tc>
          <w:p>
            <w:pPr>
              <w:pStyle w:val="Compact"/>
              <w:jc w:val="center"/>
            </w:pPr>
            <w:r>
              <w:t xml:space="preserve">3.06</w:t>
            </w:r>
          </w:p>
        </w:tc>
        <w:tc>
          <w:p>
            <w:pPr>
              <w:pStyle w:val="Compact"/>
              <w:jc w:val="center"/>
            </w:pPr>
            <w:r>
              <w:t xml:space="preserve">0.87</w:t>
            </w:r>
          </w:p>
        </w:tc>
        <w:tc>
          <w:p>
            <w:pPr>
              <w:pStyle w:val="Compact"/>
              <w:jc w:val="center"/>
            </w:pPr>
            <m:oMath>
              <m:r>
                <m:t>7.73</m:t>
              </m:r>
              <m:r>
                <m:rPr>
                  <m:sty m:val="p"/>
                </m:rPr>
                <m:t>×</m:t>
              </m:r>
              <m:sSup>
                <m:e>
                  <m:r>
                    <m:t>10</m:t>
                  </m:r>
                </m:e>
                <m:sup>
                  <m:r>
                    <m:rPr>
                      <m:sty m:val="p"/>
                    </m:rPr>
                    <m:t>−</m:t>
                  </m:r>
                  <m:r>
                    <m:t>6</m:t>
                  </m:r>
                </m:sup>
              </m:sSup>
            </m:oMath>
          </w:p>
        </w:tc>
        <w:tc>
          <w:p>
            <w:pPr>
              <w:pStyle w:val="Compact"/>
              <w:jc w:val="center"/>
            </w:pPr>
            <w:r>
              <w:t xml:space="preserve">17.92</w:t>
            </w:r>
          </w:p>
        </w:tc>
        <w:tc>
          <w:p>
            <w:pPr>
              <w:pStyle w:val="Compact"/>
              <w:jc w:val="center"/>
            </w:pPr>
            <w:r>
              <w:t xml:space="preserve">1.93</w:t>
            </w:r>
          </w:p>
        </w:tc>
        <w:tc>
          <w:p>
            <w:pPr>
              <w:pStyle w:val="Compact"/>
              <w:jc w:val="center"/>
            </w:pPr>
            <w:r>
              <w:t xml:space="preserve">0.54</w:t>
            </w:r>
          </w:p>
        </w:tc>
      </w:tr>
      <w:tr>
        <w:tc>
          <w:p>
            <w:pPr>
              <w:pStyle w:val="Compact"/>
              <w:jc w:val="center"/>
            </w:pPr>
            <w:r>
              <w:t xml:space="preserve">RUBDUP</w:t>
            </w:r>
          </w:p>
        </w:tc>
        <w:tc>
          <w:p>
            <w:pPr>
              <w:pStyle w:val="Compact"/>
              <w:jc w:val="center"/>
            </w:pPr>
            <w:r>
              <w:t xml:space="preserve">19.25</w:t>
            </w:r>
          </w:p>
        </w:tc>
        <w:tc>
          <w:p>
            <w:pPr>
              <w:pStyle w:val="Compact"/>
              <w:jc w:val="center"/>
            </w:pPr>
            <w:r>
              <w:t xml:space="preserve">4200</w:t>
            </w:r>
          </w:p>
        </w:tc>
        <w:tc>
          <w:p>
            <w:pPr>
              <w:pStyle w:val="Compact"/>
              <w:jc w:val="center"/>
            </w:pPr>
            <w:r>
              <w:t xml:space="preserve">0.30</w:t>
            </w:r>
          </w:p>
        </w:tc>
        <w:tc>
          <w:p>
            <w:pPr>
              <w:pStyle w:val="Compact"/>
              <w:jc w:val="center"/>
            </w:pPr>
            <w:r>
              <w:t xml:space="preserve">2.90</w:t>
            </w:r>
          </w:p>
        </w:tc>
        <w:tc>
          <w:p>
            <w:pPr>
              <w:pStyle w:val="Compact"/>
              <w:jc w:val="center"/>
            </w:pPr>
            <w:r>
              <w:t xml:space="preserve">0.87</w:t>
            </w:r>
          </w:p>
        </w:tc>
        <w:tc>
          <w:p>
            <w:pPr>
              <w:pStyle w:val="Compact"/>
              <w:jc w:val="center"/>
            </w:pPr>
            <m:oMath>
              <m:r>
                <m:t>3.79</m:t>
              </m:r>
              <m:r>
                <m:rPr>
                  <m:sty m:val="p"/>
                </m:rPr>
                <m:t>×</m:t>
              </m:r>
              <m:sSup>
                <m:e>
                  <m:r>
                    <m:t>10</m:t>
                  </m:r>
                </m:e>
                <m:sup>
                  <m:r>
                    <m:rPr>
                      <m:sty m:val="p"/>
                    </m:rPr>
                    <m:t>−</m:t>
                  </m:r>
                  <m:r>
                    <m:t>6</m:t>
                  </m:r>
                </m:sup>
              </m:sSup>
            </m:oMath>
          </w:p>
        </w:tc>
        <w:tc>
          <w:p>
            <w:pPr>
              <w:pStyle w:val="Compact"/>
              <w:jc w:val="center"/>
            </w:pPr>
            <w:r>
              <w:t xml:space="preserve">11.62</w:t>
            </w:r>
          </w:p>
        </w:tc>
        <w:tc>
          <w:p>
            <w:pPr>
              <w:pStyle w:val="Compact"/>
              <w:jc w:val="center"/>
            </w:pPr>
            <w:r>
              <w:t xml:space="preserve">1.93</w:t>
            </w:r>
          </w:p>
        </w:tc>
        <w:tc>
          <w:p>
            <w:pPr>
              <w:pStyle w:val="Compact"/>
              <w:jc w:val="center"/>
            </w:pPr>
            <w:r>
              <w:t xml:space="preserve">0.58</w:t>
            </w:r>
          </w:p>
        </w:tc>
      </w:tr>
      <w:tr>
        <w:tc>
          <w:p>
            <w:pPr>
              <w:pStyle w:val="Compact"/>
              <w:jc w:val="center"/>
            </w:pPr>
            <w:r>
              <w:t xml:space="preserve">WUHCUZ</w:t>
            </w:r>
          </w:p>
        </w:tc>
        <w:tc>
          <w:p>
            <w:pPr>
              <w:pStyle w:val="Compact"/>
              <w:jc w:val="center"/>
            </w:pPr>
            <w:r>
              <w:t xml:space="preserve">12.21</w:t>
            </w:r>
          </w:p>
        </w:tc>
        <w:tc>
          <w:p>
            <w:pPr>
              <w:pStyle w:val="Compact"/>
              <w:jc w:val="center"/>
            </w:pPr>
            <w:r>
              <w:t xml:space="preserve">5500</w:t>
            </w:r>
          </w:p>
        </w:tc>
        <w:tc>
          <w:p>
            <w:pPr>
              <w:pStyle w:val="Compact"/>
              <w:jc w:val="center"/>
            </w:pPr>
            <w:r>
              <w:t xml:space="preserve">0.30</w:t>
            </w:r>
          </w:p>
        </w:tc>
        <w:tc>
          <w:p>
            <w:pPr>
              <w:pStyle w:val="Compact"/>
              <w:jc w:val="center"/>
            </w:pPr>
            <w:r>
              <w:t xml:space="preserve">2.91</w:t>
            </w:r>
          </w:p>
        </w:tc>
        <w:tc>
          <w:p>
            <w:pPr>
              <w:pStyle w:val="Compact"/>
              <w:jc w:val="center"/>
            </w:pPr>
            <w:r>
              <w:t xml:space="preserve">0.87</w:t>
            </w:r>
          </w:p>
        </w:tc>
        <w:tc>
          <w:p>
            <w:pPr>
              <w:pStyle w:val="Compact"/>
              <w:jc w:val="center"/>
            </w:pPr>
            <m:oMath>
              <m:r>
                <m:t>3.75</m:t>
              </m:r>
              <m:r>
                <m:rPr>
                  <m:sty m:val="p"/>
                </m:rPr>
                <m:t>×</m:t>
              </m:r>
              <m:sSup>
                <m:e>
                  <m:r>
                    <m:t>10</m:t>
                  </m:r>
                </m:e>
                <m:sup>
                  <m:r>
                    <m:rPr>
                      <m:sty m:val="p"/>
                    </m:rPr>
                    <m:t>−</m:t>
                  </m:r>
                  <m:r>
                    <m:t>6</m:t>
                  </m:r>
                </m:sup>
              </m:sSup>
            </m:oMath>
          </w:p>
        </w:tc>
        <w:tc>
          <w:p>
            <w:pPr>
              <w:pStyle w:val="Compact"/>
              <w:jc w:val="center"/>
            </w:pPr>
            <w:r>
              <w:t xml:space="preserve">12.94</w:t>
            </w:r>
          </w:p>
        </w:tc>
        <w:tc>
          <w:p>
            <w:pPr>
              <w:pStyle w:val="Compact"/>
              <w:jc w:val="center"/>
            </w:pPr>
            <w:r>
              <w:t xml:space="preserve">1.80</w:t>
            </w:r>
          </w:p>
        </w:tc>
        <w:tc>
          <w:p>
            <w:pPr>
              <w:pStyle w:val="Compact"/>
              <w:jc w:val="center"/>
            </w:pPr>
            <w:r>
              <w:t xml:space="preserve">0.54</w:t>
            </w:r>
          </w:p>
        </w:tc>
      </w:tr>
      <w:tr>
        <w:tc>
          <w:p>
            <w:pPr>
              <w:pStyle w:val="Compact"/>
              <w:jc w:val="center"/>
            </w:pPr>
            <w:r>
              <w:t xml:space="preserve">ADATAC</w:t>
            </w:r>
          </w:p>
        </w:tc>
        <w:tc>
          <w:p>
            <w:pPr>
              <w:pStyle w:val="Compact"/>
              <w:jc w:val="center"/>
            </w:pPr>
            <w:r>
              <w:t xml:space="preserve">10.28</w:t>
            </w:r>
          </w:p>
        </w:tc>
        <w:tc>
          <w:p>
            <w:pPr>
              <w:pStyle w:val="Compact"/>
              <w:jc w:val="center"/>
            </w:pPr>
            <w:r>
              <w:t xml:space="preserve">5130</w:t>
            </w:r>
          </w:p>
        </w:tc>
        <w:tc>
          <w:p>
            <w:pPr>
              <w:pStyle w:val="Compact"/>
              <w:jc w:val="center"/>
            </w:pPr>
            <w:r>
              <w:t xml:space="preserve">0.34</w:t>
            </w:r>
          </w:p>
        </w:tc>
        <w:tc>
          <w:p>
            <w:pPr>
              <w:pStyle w:val="Compact"/>
              <w:jc w:val="center"/>
            </w:pPr>
            <w:r>
              <w:t xml:space="preserve">2.57</w:t>
            </w:r>
          </w:p>
        </w:tc>
        <w:tc>
          <w:p>
            <w:pPr>
              <w:pStyle w:val="Compact"/>
              <w:jc w:val="center"/>
            </w:pPr>
            <w:r>
              <w:t xml:space="preserve">0.87</w:t>
            </w:r>
          </w:p>
        </w:tc>
        <w:tc>
          <w:p>
            <w:pPr>
              <w:pStyle w:val="Compact"/>
              <w:jc w:val="center"/>
            </w:pPr>
            <m:oMath>
              <m:r>
                <m:t>4.16</m:t>
              </m:r>
              <m:r>
                <m:rPr>
                  <m:sty m:val="p"/>
                </m:rPr>
                <m:t>×</m:t>
              </m:r>
              <m:sSup>
                <m:e>
                  <m:r>
                    <m:t>10</m:t>
                  </m:r>
                </m:e>
                <m:sup>
                  <m:r>
                    <m:rPr>
                      <m:sty m:val="p"/>
                    </m:rPr>
                    <m:t>−</m:t>
                  </m:r>
                  <m:r>
                    <m:t>6</m:t>
                  </m:r>
                </m:sup>
              </m:sSup>
            </m:oMath>
          </w:p>
        </w:tc>
        <w:tc>
          <w:p>
            <w:pPr>
              <w:pStyle w:val="Compact"/>
              <w:jc w:val="center"/>
            </w:pPr>
            <w:r>
              <w:t xml:space="preserve">12.78</w:t>
            </w:r>
          </w:p>
        </w:tc>
        <w:tc>
          <w:p>
            <w:pPr>
              <w:pStyle w:val="Compact"/>
              <w:jc w:val="center"/>
            </w:pPr>
            <w:r>
              <w:t xml:space="preserve">1.68</w:t>
            </w:r>
          </w:p>
        </w:tc>
        <w:tc>
          <w:p>
            <w:pPr>
              <w:pStyle w:val="Compact"/>
              <w:jc w:val="center"/>
            </w:pPr>
            <w:r>
              <w:t xml:space="preserve">0.57</w:t>
            </w:r>
          </w:p>
        </w:tc>
      </w:tr>
    </w:tbl>
    <w:bookmarkEnd w:id="33"/>
    <w:p>
      <w:pPr>
        <w:pStyle w:val="BodyText"/>
      </w:pPr>
      <w:r>
        <w:t xml:space="preserve">As a validation stage of the computational method, the D4 uptakes for MIL-101(Cr) and DUT-4 were</w:t>
      </w:r>
      <w:r>
        <w:t xml:space="preserve"> </w:t>
      </w:r>
      <w:r>
        <w:t xml:space="preserve">first predicted and compared with the available experimental data. The simulated uptake for</w:t>
      </w:r>
      <w:r>
        <w:t xml:space="preserve"> </w:t>
      </w:r>
      <w:r>
        <w:t xml:space="preserve">MIL-101(Cr), the current best MOF performer, was found to be 1.03 g/g vs. 0.95 g/g as reported in</w:t>
      </w:r>
      <w:r>
        <w:t xml:space="preserve"> </w:t>
      </w:r>
      <w:r>
        <w:t xml:space="preserve">the original experimental study</w:t>
      </w:r>
      <w:r>
        <w:t xml:space="preserve"> </w:t>
      </w:r>
      <w:hyperlink w:anchor="ref-gargiuloChromiumbasedMIL101Metal2019">
        <w:r>
          <w:rPr>
            <w:rStyle w:val="Hyperlink"/>
          </w:rPr>
          <w:t xml:space="preserve">[22]</w:t>
        </w:r>
      </w:hyperlink>
      <w:r>
        <w:t xml:space="preserve">. We equally confirmed the</w:t>
      </w:r>
      <w:r>
        <w:t xml:space="preserve"> </w:t>
      </w:r>
      <w:r>
        <w:t xml:space="preserve">good agreement between the calculated and the experimental D4 uptake by recording an additional</w:t>
      </w:r>
      <w:r>
        <w:t xml:space="preserve"> </w:t>
      </w:r>
      <w:r>
        <w:t xml:space="preserve">adsorption isotherm on a MIL-101(Cr) sample (see methodology section), finding a D4 capacity of</w:t>
      </w:r>
      <w:r>
        <w:t xml:space="preserve"> </w:t>
      </w:r>
      <w:r>
        <w:t xml:space="preserve">1.15 g/g at 298 K. The D4 uptake for DUT-4 was however predicted to be substantially higher</w:t>
      </w:r>
      <w:r>
        <w:t xml:space="preserve"> </w:t>
      </w:r>
      <w:r>
        <w:t xml:space="preserve">(0.42 g/g) than the experimental value reported previously of 0.15 g/g</w:t>
      </w:r>
      <w:r>
        <w:t xml:space="preserve"> </w:t>
      </w:r>
      <w:hyperlink w:anchor="ref-mito-okaSiloxaneD4Capture2013">
        <w:r>
          <w:rPr>
            <w:rStyle w:val="Hyperlink"/>
          </w:rPr>
          <w:t xml:space="preserve">[21]</w:t>
        </w:r>
      </w:hyperlink>
      <w:r>
        <w:t xml:space="preserve">. We therefore collected a D4 adsorption isotherm on a pristine</w:t>
      </w:r>
      <w:r>
        <w:t xml:space="preserve"> </w:t>
      </w:r>
      <w:r>
        <w:t xml:space="preserve">DUT-4 sample (sourcing and textural properties in methodology section and SI), finding a D4 uptake</w:t>
      </w:r>
      <w:r>
        <w:t xml:space="preserve"> </w:t>
      </w:r>
      <w:r>
        <w:t xml:space="preserve">of 0.5 g/g (fig. </w:t>
      </w:r>
      <w:hyperlink w:anchor="fig:d4-benchmark">
        <w:r>
          <w:rPr>
            <w:rStyle w:val="Hyperlink"/>
          </w:rPr>
          <w:t xml:space="preserve">14</w:t>
        </w:r>
      </w:hyperlink>
      <w:r>
        <w:t xml:space="preserve">), more in line with our theoretical assessment. The lower D4</w:t>
      </w:r>
      <w:r>
        <w:t xml:space="preserve"> </w:t>
      </w:r>
      <w:r>
        <w:t xml:space="preserve">capacity reported in the original study is attributed to the method used to quantify the adsorbed</w:t>
      </w:r>
      <w:r>
        <w:t xml:space="preserve"> </w:t>
      </w:r>
      <w:r>
        <w:t xml:space="preserve">amount, based on mass loss upon heating. It is likely that only a fraction of D4 was released, since</w:t>
      </w:r>
      <w:r>
        <w:t xml:space="preserve"> </w:t>
      </w:r>
      <w:r>
        <w:t xml:space="preserve">D4 was demonstrated to strongly interact with DUT-4 due to a high confinement in its pores</w:t>
      </w:r>
      <w:r>
        <w:t xml:space="preserve"> </w:t>
      </w:r>
      <w:hyperlink w:anchor="ref-mito-okaSiloxaneD4Capture2013">
        <w:r>
          <w:rPr>
            <w:rStyle w:val="Hyperlink"/>
          </w:rPr>
          <w:t xml:space="preserve">[21]</w:t>
        </w:r>
      </w:hyperlink>
      <w:r>
        <w:t xml:space="preserve">.</w:t>
      </w:r>
    </w:p>
    <w:p>
      <w:pPr>
        <w:pStyle w:val="BodyText"/>
      </w:pPr>
      <w:r>
        <w:t xml:space="preserve">Overall, the good agreement between the simulated uptakes and experimental data for the previously</w:t>
      </w:r>
      <w:r>
        <w:t xml:space="preserve"> </w:t>
      </w:r>
      <w:r>
        <w:t xml:space="preserve">investigated MOFs served to validate both the applicability of our computational method and the</w:t>
      </w:r>
      <w:r>
        <w:t xml:space="preserve"> </w:t>
      </w:r>
      <w:r>
        <w:t xml:space="preserve">reliability of our experimental setup. This further highlights the importance of a dual</w:t>
      </w:r>
      <w:r>
        <w:t xml:space="preserve"> </w:t>
      </w:r>
      <w:r>
        <w:t xml:space="preserve">experimental-computational approach even prior to starting the high-throughput screening. We then</w:t>
      </w:r>
      <w:r>
        <w:t xml:space="preserve"> </w:t>
      </w:r>
      <w:r>
        <w:t xml:space="preserve">transitioned towards the search for better performers amongst the 811 identified hydrophobic MOFs.</w:t>
      </w:r>
      <w:r>
        <w:t xml:space="preserve"> </w:t>
      </w:r>
      <w:r>
        <w:t xml:space="preserve">fig. </w:t>
      </w:r>
      <w:hyperlink w:anchor="fig:d4-screening">
        <w:r>
          <w:rPr>
            <w:rStyle w:val="Hyperlink"/>
          </w:rPr>
          <w:t xml:space="preserve">2</w:t>
        </w:r>
      </w:hyperlink>
      <w:r>
        <w:t xml:space="preserve">a reports their computed D4 uptakes vs. their</w:t>
      </w:r>
      <w:r>
        <w:t xml:space="preserve"> </w:t>
      </w:r>
      <m:oMath>
        <m:r>
          <m:t>Δ</m:t>
        </m:r>
        <m:sSubSup>
          <m:e>
            <m:r>
              <m:t>H</m:t>
            </m:r>
          </m:e>
          <m:sub>
            <m:r>
              <m:t>s</m:t>
            </m:r>
            <m:r>
              <m:t>t</m:t>
            </m:r>
            <m:r>
              <m:rPr>
                <m:sty m:val="p"/>
              </m:rPr>
              <m:t>,</m:t>
            </m:r>
            <m:sSub>
              <m:e>
                <m:r>
                  <m:t>H</m:t>
                </m:r>
              </m:e>
              <m:sub>
                <m:r>
                  <m:t>2</m:t>
                </m:r>
              </m:sub>
            </m:sSub>
            <m:r>
              <m:t>O</m:t>
            </m:r>
          </m:sub>
          <m:sup>
            <m:r>
              <m:t>0</m:t>
            </m:r>
          </m:sup>
        </m:sSubSup>
      </m:oMath>
      <w:r>
        <w:t xml:space="preserve"> </w:t>
      </w:r>
      <w:r>
        <w:t xml:space="preserve">values</w:t>
      </w:r>
      <w:r>
        <w:t xml:space="preserve"> </w:t>
      </w:r>
      <w:r>
        <w:t xml:space="preserve">at 298 K, with a similar correlation depicted vs. </w:t>
      </w:r>
      <m:oMath>
        <m:sSub>
          <m:e>
            <m:r>
              <m:t>K</m:t>
            </m:r>
          </m:e>
          <m:sub>
            <m:r>
              <m:t>H</m:t>
            </m:r>
            <m:r>
              <m:rPr>
                <m:sty m:val="p"/>
              </m:rPr>
              <m:t>,</m:t>
            </m:r>
            <m:sSub>
              <m:e>
                <m:r>
                  <m:t>H</m:t>
                </m:r>
              </m:e>
              <m:sub>
                <m:r>
                  <m:t>2</m:t>
                </m:r>
              </m:sub>
            </m:sSub>
            <m:r>
              <m:t>O</m:t>
            </m:r>
          </m:sub>
        </m:sSub>
      </m:oMath>
      <w:r>
        <w:t xml:space="preserve"> </w:t>
      </w:r>
      <w:r>
        <w:t xml:space="preserve">in fig. </w:t>
      </w:r>
      <w:hyperlink w:anchor="fig:d4-screening-henryc">
        <w:r>
          <w:rPr>
            <w:rStyle w:val="Hyperlink"/>
          </w:rPr>
          <w:t xml:space="preserve">8</w:t>
        </w:r>
      </w:hyperlink>
      <w:r>
        <w:t xml:space="preserve">, SI.</w:t>
      </w:r>
      <w:r>
        <w:t xml:space="preserve"> </w:t>
      </w:r>
      <w:r>
        <w:t xml:space="preserve">The dashed line represents the current known upper bound for D4 uptake in MOFs, considering</w:t>
      </w:r>
      <w:r>
        <w:t xml:space="preserve"> </w:t>
      </w:r>
      <w:r>
        <w:t xml:space="preserve">MIL-101(Cr) as the benchmark sorbent (0.95 g/g)</w:t>
      </w:r>
      <w:r>
        <w:t xml:space="preserve"> </w:t>
      </w:r>
      <w:hyperlink w:anchor="ref-gargiuloChromiumbasedMIL101Metal2019">
        <w:r>
          <w:rPr>
            <w:rStyle w:val="Hyperlink"/>
          </w:rPr>
          <w:t xml:space="preserve">[22]</w:t>
        </w:r>
      </w:hyperlink>
      <w:r>
        <w:t xml:space="preserve">. 56</w:t>
      </w:r>
      <w:r>
        <w:t xml:space="preserve"> </w:t>
      </w:r>
      <w:r>
        <w:t xml:space="preserve">hydrophobic MOFs were predicted to be more attractive candidates than MIL-101(Cr) on the basis of</w:t>
      </w:r>
      <w:r>
        <w:t xml:space="preserve"> </w:t>
      </w:r>
      <w:r>
        <w:t xml:space="preserve">gravimetric D4 uptake. Common geometric and textural features of these MOF candidates are void</w:t>
      </w:r>
      <w:r>
        <w:t xml:space="preserve"> </w:t>
      </w:r>
      <w:r>
        <w:t xml:space="preserve">fractions</w:t>
      </w:r>
      <w:r>
        <w:t xml:space="preserve"> </w:t>
      </w:r>
      <m:oMath>
        <m:r>
          <m:t>ϕ</m:t>
        </m:r>
      </m:oMath>
      <w:r>
        <w:t xml:space="preserve"> </w:t>
      </w:r>
      <w:r>
        <w:t xml:space="preserve">larger than 0.81 and pore volumes (PV) higher than ~1.7 cm</w:t>
      </w:r>
      <w:r>
        <w:rPr>
          <w:vertAlign w:val="superscript"/>
        </w:rPr>
        <w:t xml:space="preserve">3</w:t>
      </w:r>
      <w:r>
        <w:t xml:space="preserve">/g. Typically, the</w:t>
      </w:r>
      <w:r>
        <w:t xml:space="preserve"> </w:t>
      </w:r>
      <w:r>
        <w:t xml:space="preserve">relation between gravimetric D4 uptake and PV is shown in fig. </w:t>
      </w:r>
      <w:hyperlink w:anchor="fig:d4-screening-grav-volum">
        <w:r>
          <w:rPr>
            <w:rStyle w:val="Hyperlink"/>
          </w:rPr>
          <w:t xml:space="preserve">7</w:t>
        </w:r>
      </w:hyperlink>
      <w:r>
        <w:t xml:space="preserve">.</w:t>
      </w:r>
    </w:p>
    <w:p>
      <w:pPr>
        <w:pStyle w:val="BodyText"/>
      </w:pPr>
      <w:r>
        <w:t xml:space="preserve">The 10 best MOFs showing the highest D4 uptakes ranging from 1.68 to 2.68 g/g are highlighted in</w:t>
      </w:r>
      <w:r>
        <w:t xml:space="preserve"> </w:t>
      </w:r>
      <w:r>
        <w:t xml:space="preserve">fig. </w:t>
      </w:r>
      <w:hyperlink w:anchor="fig:d4-screening">
        <w:r>
          <w:rPr>
            <w:rStyle w:val="Hyperlink"/>
          </w:rPr>
          <w:t xml:space="preserve">2</w:t>
        </w:r>
      </w:hyperlink>
      <w:r>
        <w:t xml:space="preserve">a by their Cambridge Structural Database (CSD)</w:t>
      </w:r>
      <w:r>
        <w:t xml:space="preserve"> </w:t>
      </w:r>
      <w:hyperlink w:anchor="ref-allenCambridgeStructuralDatabase2002">
        <w:r>
          <w:rPr>
            <w:rStyle w:val="Hyperlink"/>
          </w:rPr>
          <w:t xml:space="preserve">[49]</w:t>
        </w:r>
      </w:hyperlink>
      <w:r>
        <w:t xml:space="preserve"> </w:t>
      </w:r>
      <w:r>
        <w:t xml:space="preserve">refcode and listed in tbl. </w:t>
      </w:r>
      <w:hyperlink w:anchor="tbl:top10">
        <w:r>
          <w:rPr>
            <w:rStyle w:val="Hyperlink"/>
          </w:rPr>
          <w:t xml:space="preserve">1</w:t>
        </w:r>
      </w:hyperlink>
      <w:r>
        <w:t xml:space="preserve">. Notably, all these</w:t>
      </w:r>
      <w:r>
        <w:t xml:space="preserve"> </w:t>
      </w:r>
      <w:r>
        <w:t xml:space="preserve">identified candidates were found to be highly hydrophobic with associated</w:t>
      </w:r>
      <w:r>
        <w:t xml:space="preserve"> </w:t>
      </w:r>
      <m:oMath>
        <m:sSub>
          <m:e>
            <m:r>
              <m:t>K</m:t>
            </m:r>
          </m:e>
          <m:sub>
            <m:r>
              <m:t>H</m:t>
            </m:r>
            <m:r>
              <m:rPr>
                <m:sty m:val="p"/>
              </m:rPr>
              <m:t>,</m:t>
            </m:r>
            <m:sSub>
              <m:e>
                <m:r>
                  <m:t>H</m:t>
                </m:r>
              </m:e>
              <m:sub>
                <m:r>
                  <m:t>2</m:t>
                </m:r>
              </m:sub>
            </m:sSub>
            <m:r>
              <m:t>O</m:t>
            </m:r>
          </m:sub>
        </m:sSub>
      </m:oMath>
      <w:r>
        <w:t xml:space="preserve"> </w:t>
      </w:r>
      <w:r>
        <w:t xml:space="preserve">of about</w:t>
      </w:r>
      <w:r>
        <w:t xml:space="preserve"> </w:t>
      </w:r>
      <w:r>
        <w:t xml:space="preserve">5E-6 mol/kg/Pa and their</w:t>
      </w:r>
      <w:r>
        <w:t xml:space="preserve"> </w:t>
      </w:r>
      <m:oMath>
        <m:r>
          <m:t>Δ</m:t>
        </m:r>
        <m:sSubSup>
          <m:e>
            <m:r>
              <m:t>H</m:t>
            </m:r>
          </m:e>
          <m:sub>
            <m:r>
              <m:t>s</m:t>
            </m:r>
            <m:r>
              <m:t>t</m:t>
            </m:r>
            <m:r>
              <m:rPr>
                <m:sty m:val="p"/>
              </m:rPr>
              <m:t>,</m:t>
            </m:r>
            <m:sSub>
              <m:e>
                <m:r>
                  <m:t>H</m:t>
                </m:r>
              </m:e>
              <m:sub>
                <m:r>
                  <m:t>2</m:t>
                </m:r>
              </m:sub>
            </m:sSub>
            <m:r>
              <m:t>O</m:t>
            </m:r>
          </m:sub>
          <m:sup>
            <m:r>
              <m:t>0</m:t>
            </m:r>
          </m:sup>
        </m:sSubSup>
      </m:oMath>
      <w:r>
        <w:t xml:space="preserve"> </w:t>
      </w:r>
      <w:r>
        <w:t xml:space="preserve">ranging from 8 to 18 kJ/mol which make these</w:t>
      </w:r>
      <w:r>
        <w:t xml:space="preserve"> </w:t>
      </w:r>
      <w:r>
        <w:t xml:space="preserve">adsorbents also potentially effective under moderate humidity conditions. tbl. </w:t>
      </w:r>
      <w:hyperlink w:anchor="tbl:top10">
        <w:r>
          <w:rPr>
            <w:rStyle w:val="Hyperlink"/>
          </w:rPr>
          <w:t xml:space="preserve">1</w:t>
        </w:r>
      </w:hyperlink>
      <w:r>
        <w:t xml:space="preserve"> </w:t>
      </w:r>
      <w:r>
        <w:t xml:space="preserve">shows that</w:t>
      </w:r>
      <w:r>
        <w:t xml:space="preserve"> </w:t>
      </w:r>
      <w:r>
        <w:t xml:space="preserve">the highly hydrophobic FOTNIN is predicted to exhibit the highest saturated D4 uptake (2.68 g/g), in</w:t>
      </w:r>
      <w:r>
        <w:t xml:space="preserve"> </w:t>
      </w:r>
      <w:r>
        <w:t xml:space="preserve">relation with its high PV (3.31 cm</w:t>
      </w:r>
      <w:r>
        <w:rPr>
          <w:vertAlign w:val="superscript"/>
        </w:rPr>
        <w:t xml:space="preserve">3</w:t>
      </w:r>
      <w:r>
        <w:t xml:space="preserve">/g) and large mesoporous cages (33.7 Å × 28.4 Å). Remarkably,</w:t>
      </w:r>
      <w:r>
        <w:t xml:space="preserve"> </w:t>
      </w:r>
      <w:r>
        <w:t xml:space="preserve">this gravimetric D4 loading translates into a spectacular improvement as compared to MIL-101(Cr)</w:t>
      </w:r>
      <w:r>
        <w:t xml:space="preserve"> </w:t>
      </w:r>
      <w:hyperlink w:anchor="ref-gargiuloChromiumbasedMIL101Metal2019">
        <w:r>
          <w:rPr>
            <w:rStyle w:val="Hyperlink"/>
          </w:rPr>
          <w:t xml:space="preserve">[22]</w:t>
        </w:r>
      </w:hyperlink>
      <w:r>
        <w:t xml:space="preserve">. RUTNOK (common name IRMOF-76</w:t>
      </w:r>
      <w:r>
        <w:t xml:space="preserve"> </w:t>
      </w:r>
      <w:hyperlink w:anchor="ref-oisakiMetalOrganicFramework2010">
        <w:r>
          <w:rPr>
            <w:rStyle w:val="Hyperlink"/>
          </w:rPr>
          <w:t xml:space="preserve">[50]</w:t>
        </w:r>
      </w:hyperlink>
      <w:r>
        <w:t xml:space="preserve">) gave almost a similar D4 uptake (2.57 g/g) as FOTNIN, in part</w:t>
      </w:r>
      <w:r>
        <w:t xml:space="preserve"> </w:t>
      </w:r>
      <w:r>
        <w:t xml:space="preserve">due to similar PV (3.72 cm</w:t>
      </w:r>
      <w:r>
        <w:rPr>
          <w:vertAlign w:val="superscript"/>
        </w:rPr>
        <w:t xml:space="preserve">3</w:t>
      </w:r>
      <w:r>
        <w:t xml:space="preserve">/g) and</w:t>
      </w:r>
      <w:r>
        <w:t xml:space="preserve"> </w:t>
      </w:r>
      <m:oMath>
        <m:r>
          <m:t>ϕ</m:t>
        </m:r>
      </m:oMath>
      <w:r>
        <w:t xml:space="preserve"> </w:t>
      </w:r>
      <w:r>
        <w:t xml:space="preserve">(0.9). Other candidates exhibit high D4 uptakes,</w:t>
      </w:r>
      <w:r>
        <w:t xml:space="preserve"> </w:t>
      </w:r>
      <w:r>
        <w:t xml:space="preserve">including CUSYAR (also known as MOF-210</w:t>
      </w:r>
      <w:r>
        <w:t xml:space="preserve"> </w:t>
      </w:r>
      <w:hyperlink w:anchor="Xf311ed7582200e13d1c9738fc14e7c45f00e48c">
        <w:r>
          <w:rPr>
            <w:rStyle w:val="Hyperlink"/>
          </w:rPr>
          <w:t xml:space="preserve">[51]</w:t>
        </w:r>
      </w:hyperlink>
      <w:r>
        <w:t xml:space="preserve">), WUHDAG and</w:t>
      </w:r>
      <w:r>
        <w:t xml:space="preserve"> </w:t>
      </w:r>
      <w:r>
        <w:t xml:space="preserve">WUHCUZ (NU-1104, and NU-1103</w:t>
      </w:r>
      <w:r>
        <w:t xml:space="preserve"> </w:t>
      </w:r>
      <w:hyperlink w:anchor="ref-wangUltrahighSurfaceArea2015">
        <w:r>
          <w:rPr>
            <w:rStyle w:val="Hyperlink"/>
          </w:rPr>
          <w:t xml:space="preserve">[52]</w:t>
        </w:r>
      </w:hyperlink>
      <w:r>
        <w:t xml:space="preserve">, respectively). Full structural</w:t>
      </w:r>
      <w:r>
        <w:t xml:space="preserve"> </w:t>
      </w:r>
      <w:r>
        <w:t xml:space="preserve">properties of these 10 MOFs including organic ligands and metal sites are given in</w:t>
      </w:r>
      <w:r>
        <w:t xml:space="preserve"> </w:t>
      </w:r>
      <w:r>
        <w:t xml:space="preserve">tbl. </w:t>
      </w:r>
      <w:r>
        <w:rPr>
          <w:bCs/>
          <w:b/>
        </w:rPr>
        <w:t xml:space="preserve">¿tbl:top-mofs-detail?</w:t>
      </w:r>
      <w:r>
        <w:t xml:space="preserve">.</w:t>
      </w:r>
    </w:p>
    <w:p>
      <w:pPr>
        <w:pStyle w:val="BodyText"/>
      </w:pPr>
      <w:r>
        <w:t xml:space="preserve">In the scope of the practical application of a sorbent for a filter bed or column, volumetric uptake</w:t>
      </w:r>
      <w:r>
        <w:t xml:space="preserve"> </w:t>
      </w:r>
      <w:r>
        <w:t xml:space="preserve">is a reliable metric due to its direct relation to equipment sizing. Trade-offs between gravimetric</w:t>
      </w:r>
      <w:r>
        <w:t xml:space="preserve"> </w:t>
      </w:r>
      <w:r>
        <w:t xml:space="preserve">and volumetric uptakes have been previously reported for the storage of various fluids using porous</w:t>
      </w:r>
      <w:r>
        <w:t xml:space="preserve"> </w:t>
      </w:r>
      <w:r>
        <w:t xml:space="preserve">materials</w:t>
      </w:r>
      <w:r>
        <w:t xml:space="preserve"> </w:t>
      </w:r>
      <w:hyperlink w:anchor="Xc14f84aea59c0ffe8a0c3076f33ed5a4900f11b">
        <w:r>
          <w:rPr>
            <w:rStyle w:val="Hyperlink"/>
          </w:rPr>
          <w:t xml:space="preserve">[26]</w:t>
        </w:r>
      </w:hyperlink>
      <w:r>
        <w:t xml:space="preserve">. fig. </w:t>
      </w:r>
      <w:hyperlink w:anchor="fig:d4-screening">
        <w:r>
          <w:rPr>
            <w:rStyle w:val="Hyperlink"/>
          </w:rPr>
          <w:t xml:space="preserve">2</w:t>
        </w:r>
      </w:hyperlink>
      <w:r>
        <w:t xml:space="preserve">b shows the relation</w:t>
      </w:r>
      <w:r>
        <w:t xml:space="preserve"> </w:t>
      </w:r>
      <w:r>
        <w:t xml:space="preserve">between the computed gravimetric and volumetric D4 uptakes for the hydrophobic MOFs database. Unlike</w:t>
      </w:r>
      <w:r>
        <w:t xml:space="preserve"> </w:t>
      </w:r>
      <w:r>
        <w:t xml:space="preserve">gravimetric uptake which increases indefinitely, the volumetric uptake in porous materials is</w:t>
      </w:r>
      <w:r>
        <w:t xml:space="preserve"> </w:t>
      </w:r>
      <w:r>
        <w:t xml:space="preserve">limited by the density of the adsorbate fluid phase, to which it asymptotically approaches as</w:t>
      </w:r>
      <w:r>
        <w:t xml:space="preserve"> </w:t>
      </w:r>
      <w:r>
        <w:t xml:space="preserve">framework density decreases (and void fraction increases)</w:t>
      </w:r>
      <w:r>
        <w:t xml:space="preserve"> </w:t>
      </w:r>
      <w:hyperlink w:anchor="Xbadcd6e2b9e1216cbb8bbf6b38ece16672f4cf2">
        <w:r>
          <w:rPr>
            <w:rStyle w:val="Hyperlink"/>
          </w:rPr>
          <w:t xml:space="preserve">[53]</w:t>
        </w:r>
      </w:hyperlink>
      <w:r>
        <w:t xml:space="preserve">. Interestingly FOTNIN remains the top MOF performer in</w:t>
      </w:r>
      <w:r>
        <w:t xml:space="preserve"> </w:t>
      </w:r>
      <w:r>
        <w:t xml:space="preserve">terms of volumetric uptake as well (0.72 g/cm</w:t>
      </w:r>
      <w:r>
        <w:rPr>
          <w:vertAlign w:val="superscript"/>
        </w:rPr>
        <w:t xml:space="preserve">3</w:t>
      </w:r>
      <w:r>
        <w:t xml:space="preserve">). This MOF (common name PCN-777</w:t>
      </w:r>
      <w:r>
        <w:t xml:space="preserve"> </w:t>
      </w:r>
      <w:hyperlink w:anchor="ref-fengHighlyStableZeotype2015">
        <w:r>
          <w:rPr>
            <w:rStyle w:val="Hyperlink"/>
          </w:rPr>
          <w:t xml:space="preserve">[41]</w:t>
        </w:r>
      </w:hyperlink>
      <w:r>
        <w:t xml:space="preserve">) is built from large planar tritopic linkers</w:t>
      </w:r>
      <w:r>
        <w:t xml:space="preserve"> </w:t>
      </w:r>
      <w:r>
        <w:t xml:space="preserve">(4,4’,4’ ’-s-triazine-2,4,6-triyl-tri-benzoate or TATB) coordinated to</w:t>
      </w:r>
      <w:r>
        <w:t xml:space="preserve"> </w:t>
      </w:r>
      <m:oMath>
        <m:r>
          <m:t>Z</m:t>
        </m:r>
        <m:r>
          <m:t>r</m:t>
        </m:r>
        <m:r>
          <m:t>6</m:t>
        </m:r>
      </m:oMath>
      <w:r>
        <w:t xml:space="preserve">-oxoclusters in an</w:t>
      </w:r>
      <w:r>
        <w:t xml:space="preserve"> </w:t>
      </w:r>
      <w:r>
        <w:t xml:space="preserve">antiprismatic fashion, forming vertex-sharing supertetrahedra surrounding a mesoporous cage of 33.7</w:t>
      </w:r>
      <w:r>
        <w:t xml:space="preserve"> </w:t>
      </w:r>
      <w:r>
        <w:t xml:space="preserve">Å as depicted in fig. </w:t>
      </w:r>
      <w:hyperlink w:anchor="fig:d4-screening">
        <w:r>
          <w:rPr>
            <w:rStyle w:val="Hyperlink"/>
          </w:rPr>
          <w:t xml:space="preserve">2</w:t>
        </w:r>
      </w:hyperlink>
      <w:r>
        <w:t xml:space="preserve">c. These cages are interconnected by hexagonal windows (30 Å)</w:t>
      </w:r>
      <w:r>
        <w:t xml:space="preserve"> </w:t>
      </w:r>
      <w:r>
        <w:t xml:space="preserve">and are typically decorated by</w:t>
      </w:r>
      <w:r>
        <w:t xml:space="preserve"> </w:t>
      </w:r>
      <m:oMath>
        <m:r>
          <m:t>O</m:t>
        </m:r>
        <m:r>
          <m:t>H</m:t>
        </m:r>
        <m:r>
          <m:rPr>
            <m:sty m:val="p"/>
          </m:rPr>
          <m:t>/</m:t>
        </m:r>
        <m:r>
          <m:t>H</m:t>
        </m:r>
        <m:r>
          <m:t>2</m:t>
        </m:r>
        <m:r>
          <m:t>O</m:t>
        </m:r>
      </m:oMath>
      <w:r>
        <w:t xml:space="preserve"> </w:t>
      </w:r>
      <w:r>
        <w:t xml:space="preserve">moieties coordinated to the remaining axial positions</w:t>
      </w:r>
      <w:r>
        <w:t xml:space="preserve"> </w:t>
      </w:r>
      <w:r>
        <w:t xml:space="preserve">of the</w:t>
      </w:r>
      <w:r>
        <w:t xml:space="preserve"> </w:t>
      </w:r>
      <m:oMath>
        <m:r>
          <m:t>Z</m:t>
        </m:r>
        <m:r>
          <m:t>r</m:t>
        </m:r>
        <m:r>
          <m:t>6</m:t>
        </m:r>
      </m:oMath>
      <w:r>
        <w:t xml:space="preserve"> </w:t>
      </w:r>
      <w:r>
        <w:t xml:space="preserve">node.</w:t>
      </w:r>
    </w:p>
    <w:p>
      <w:pPr>
        <w:pStyle w:val="CaptionedFigure"/>
      </w:pPr>
      <w:bookmarkStart w:id="35" w:name="fig:d4-experiment"/>
      <w:r>
        <w:drawing>
          <wp:inline>
            <wp:extent cx="6311900" cy="4207933"/>
            <wp:effectExtent b="0" l="0" r="0" t="0"/>
            <wp:docPr descr="Figure 3: (a) Single component adsorption/desorption isotherms for D4 (blue) and {H2O} (red) collected at 303 K for PCN-777 in the pressure range of 0-10 Pa (corresponding to 0–0.05 p/p0 for D4). Solid and open symbols represent adsorption and desorption branches, respectively. (b) Comparison of the D4 capacity of MOFs investigated in the present study with other classes of porous materials (data from [4]), with error bars placed at one standard deviation of mean capacity. (c) 5 D4 sorption-desorption cycles recorded after the first two isotherms on PCN-777, in the same pressure range. (d) PXRD of pristine PCN-777 (black) and samples recovered after D4 cycling (blue) and water adsorption (red)." title="" id="1" name="Picture"/>
            <a:graphic>
              <a:graphicData uri="http://schemas.openxmlformats.org/drawingml/2006/picture">
                <pic:pic>
                  <pic:nvPicPr>
                    <pic:cNvPr descr="figs/d4-experiment.png" id="0" name="Picture"/>
                    <pic:cNvPicPr>
                      <a:picLocks noChangeArrowheads="1" noChangeAspect="1"/>
                    </pic:cNvPicPr>
                  </pic:nvPicPr>
                  <pic:blipFill>
                    <a:blip r:embed="rId34"/>
                    <a:stretch>
                      <a:fillRect/>
                    </a:stretch>
                  </pic:blipFill>
                  <pic:spPr bwMode="auto">
                    <a:xfrm>
                      <a:off x="0" y="0"/>
                      <a:ext cx="6311900" cy="4207933"/>
                    </a:xfrm>
                    <a:prstGeom prst="rect">
                      <a:avLst/>
                    </a:prstGeom>
                    <a:noFill/>
                    <a:ln w="9525">
                      <a:noFill/>
                      <a:headEnd/>
                      <a:tailEnd/>
                    </a:ln>
                  </pic:spPr>
                </pic:pic>
              </a:graphicData>
            </a:graphic>
          </wp:inline>
        </w:drawing>
      </w:r>
      <w:bookmarkEnd w:id="35"/>
    </w:p>
    <w:p>
      <w:pPr>
        <w:pStyle w:val="ImageCaption"/>
      </w:pPr>
      <w:r>
        <w:t xml:space="preserve">Figure 3: (a) Single component adsorption/desorption isotherms for D4 (blue) and</w:t>
      </w:r>
      <w:r>
        <w:t xml:space="preserve"> </w:t>
      </w:r>
      <m:oMath>
        <m:r>
          <m:t>H</m:t>
        </m:r>
        <m:r>
          <m:t>2</m:t>
        </m:r>
        <m:r>
          <m:t>O</m:t>
        </m:r>
      </m:oMath>
      <w:r>
        <w:t xml:space="preserve"> </w:t>
      </w:r>
      <w:r>
        <w:t xml:space="preserve">(red) collected</w:t>
      </w:r>
      <w:r>
        <w:t xml:space="preserve"> </w:t>
      </w:r>
      <w:r>
        <w:t xml:space="preserve">at 303 K for PCN-777 in the pressure range of 0-10 Pa (corresponding to 0–0.05 p/p</w:t>
      </w:r>
      <w:r>
        <w:rPr>
          <w:vertAlign w:val="superscript"/>
        </w:rPr>
        <w:t xml:space="preserve">0</w:t>
      </w:r>
      <w:r>
        <w:t xml:space="preserve"> </w:t>
      </w:r>
      <w:r>
        <w:t xml:space="preserve">for D4).</w:t>
      </w:r>
      <w:r>
        <w:t xml:space="preserve"> </w:t>
      </w:r>
      <w:r>
        <w:t xml:space="preserve">Solid and open symbols represent adsorption and desorption branches, respectively. (b) Comparison of</w:t>
      </w:r>
      <w:r>
        <w:t xml:space="preserve"> </w:t>
      </w:r>
      <w:r>
        <w:t xml:space="preserve">the D4 capacity of MOFs investigated in the present study with other classes of porous materials</w:t>
      </w:r>
      <w:r>
        <w:t xml:space="preserve"> </w:t>
      </w:r>
      <w:r>
        <w:t xml:space="preserve">(data from</w:t>
      </w:r>
      <w:r>
        <w:t xml:space="preserve"> </w:t>
      </w:r>
      <w:hyperlink w:anchor="ref-wangRecentAdvancesTechnologies2019">
        <w:r>
          <w:rPr>
            <w:rStyle w:val="Hyperlink"/>
          </w:rPr>
          <w:t xml:space="preserve">[4]</w:t>
        </w:r>
      </w:hyperlink>
      <w:r>
        <w:t xml:space="preserve">), with error bars placed at one standard deviation of</w:t>
      </w:r>
      <w:r>
        <w:t xml:space="preserve"> </w:t>
      </w:r>
      <w:r>
        <w:t xml:space="preserve">mean capacity. (c) 5 D4 sorption-desorption cycles recorded after the first two isotherms on</w:t>
      </w:r>
      <w:r>
        <w:t xml:space="preserve"> </w:t>
      </w:r>
      <w:r>
        <w:t xml:space="preserve">PCN-777, in the same pressure range. (d) PXRD of pristine PCN-777 (black) and samples recovered</w:t>
      </w:r>
      <w:r>
        <w:t xml:space="preserve"> </w:t>
      </w:r>
      <w:r>
        <w:t xml:space="preserve">after D4 cycling (blue) and water adsorption (red).</w:t>
      </w:r>
    </w:p>
    <w:bookmarkEnd w:id="36"/>
    <w:bookmarkStart w:id="39" w:name="assessment"/>
    <w:p>
      <w:pPr>
        <w:pStyle w:val="Heading2"/>
      </w:pPr>
      <w:r>
        <w:t xml:space="preserve">Experimental assessment of the D4 sorption performance for the top MOF</w:t>
      </w:r>
    </w:p>
    <w:p>
      <w:pPr>
        <w:pStyle w:val="FirstParagraph"/>
      </w:pPr>
      <w:r>
        <w:t xml:space="preserve">While HTCS enabled a rapid and effective screening on the performance indicator, additional</w:t>
      </w:r>
      <w:r>
        <w:t xml:space="preserve"> </w:t>
      </w:r>
      <w:r>
        <w:t xml:space="preserve">criteria, such as thermal/chemical stability, synthesis route, activation conditions, precursor</w:t>
      </w:r>
      <w:r>
        <w:t xml:space="preserve"> </w:t>
      </w:r>
      <w:r>
        <w:t xml:space="preserve">toxicity and linker availability need to be considered to select the optimal adsorbents. We</w:t>
      </w:r>
      <w:r>
        <w:t xml:space="preserve"> </w:t>
      </w:r>
      <w:r>
        <w:t xml:space="preserve">therefore critically assessed PCN-777 prior to further experimental action. Our selection criteria</w:t>
      </w:r>
      <w:r>
        <w:t xml:space="preserve"> </w:t>
      </w:r>
      <w:r>
        <w:t xml:space="preserve">for PCN-777 were (i) the excellent known stability of the oxo-Zr-carboxylate metal node, at the</w:t>
      </w:r>
      <w:r>
        <w:t xml:space="preserve"> </w:t>
      </w:r>
      <w:r>
        <w:t xml:space="preserve">origin of the high chemical and thermal resistance of the framework, alongside with (ii) the</w:t>
      </w:r>
      <w:r>
        <w:t xml:space="preserve"> </w:t>
      </w:r>
      <w:r>
        <w:t xml:space="preserve">commercially available linker and well-controlled synthesis procedure documented elsewhere</w:t>
      </w:r>
      <w:r>
        <w:t xml:space="preserve"> </w:t>
      </w:r>
      <w:hyperlink w:anchor="ref-fengHighlyStableZeotype2015">
        <w:r>
          <w:rPr>
            <w:rStyle w:val="Hyperlink"/>
          </w:rPr>
          <w:t xml:space="preserve">[41]</w:t>
        </w:r>
      </w:hyperlink>
      <w:r>
        <w:t xml:space="preserve">,</w:t>
      </w:r>
      <w:r>
        <w:t xml:space="preserve"> </w:t>
      </w:r>
      <w:hyperlink w:anchor="X4d5ad48658c57347f5ecc3bd653b87dfb9bd288">
        <w:r>
          <w:rPr>
            <w:rStyle w:val="Hyperlink"/>
          </w:rPr>
          <w:t xml:space="preserve">[54]</w:t>
        </w:r>
      </w:hyperlink>
      <w:r>
        <w:t xml:space="preserve">. Indeed, this material was</w:t>
      </w:r>
      <w:r>
        <w:t xml:space="preserve"> </w:t>
      </w:r>
      <w:r>
        <w:t xml:space="preserve">synthesised accordingly (details provided in the methodology section).</w:t>
      </w:r>
    </w:p>
    <w:p>
      <w:pPr>
        <w:pStyle w:val="BodyText"/>
      </w:pPr>
      <w:r>
        <w:t xml:space="preserve">The D4 adsorption isotherm for PCN-777 was first recorded up to 10 Pa at 303 K using a dynamic</w:t>
      </w:r>
      <w:r>
        <w:t xml:space="preserve"> </w:t>
      </w:r>
      <w:r>
        <w:t xml:space="preserve">vapour sorption system (experimental details in the methodology section). The resulting isotherm,</w:t>
      </w:r>
      <w:r>
        <w:t xml:space="preserve"> </w:t>
      </w:r>
      <w:r>
        <w:t xml:space="preserve">depicted in fig. </w:t>
      </w:r>
      <w:hyperlink w:anchor="fig:d4-experiment">
        <w:r>
          <w:rPr>
            <w:rStyle w:val="Hyperlink"/>
          </w:rPr>
          <w:t xml:space="preserve">3</w:t>
        </w:r>
      </w:hyperlink>
      <w:r>
        <w:t xml:space="preserve">a, exhibits a characteristic type V shape</w:t>
      </w:r>
      <w:r>
        <w:t xml:space="preserve"> </w:t>
      </w:r>
      <w:hyperlink w:anchor="ref-thommesPhysisorptionGasesSpecial2015">
        <w:r>
          <w:rPr>
            <w:rStyle w:val="Hyperlink"/>
          </w:rPr>
          <w:t xml:space="preserve">[55]</w:t>
        </w:r>
      </w:hyperlink>
      <w:r>
        <w:t xml:space="preserve"> </w:t>
      </w:r>
      <w:r>
        <w:t xml:space="preserve">with a sharp D4 uptake increase above 7 Pa up to a maximum</w:t>
      </w:r>
      <w:r>
        <w:t xml:space="preserve"> </w:t>
      </w:r>
      <w:r>
        <w:t xml:space="preserve">of 1.8 g/g that translates into 0.49 g/cm</w:t>
      </w:r>
      <w:r>
        <w:rPr>
          <w:vertAlign w:val="superscript"/>
        </w:rPr>
        <w:t xml:space="preserve">3</w:t>
      </w:r>
      <w:r>
        <w:t xml:space="preserve">. This value is however lower than the predicted uptake</w:t>
      </w:r>
      <w:r>
        <w:t xml:space="preserve"> </w:t>
      </w:r>
      <w:r>
        <w:t xml:space="preserve">due to two combined reasons: (i) an incomplete evacuation of the porosity (theoretical</w:t>
      </w:r>
      <w:r>
        <w:t xml:space="preserve"> </w:t>
      </w:r>
      <w:r>
        <w:t xml:space="preserve">PV=3.3 cm</w:t>
      </w:r>
      <w:r>
        <w:rPr>
          <w:vertAlign w:val="superscript"/>
        </w:rPr>
        <w:t xml:space="preserve">3</w:t>
      </w:r>
      <w:r>
        <w:t xml:space="preserve">/g vs the experimental one of 2.2 cm</w:t>
      </w:r>
      <w:r>
        <w:rPr>
          <w:vertAlign w:val="superscript"/>
        </w:rPr>
        <w:t xml:space="preserve">3</w:t>
      </w:r>
      <w:r>
        <w:t xml:space="preserve">/g determined through</w:t>
      </w:r>
      <w:r>
        <w:t xml:space="preserve"> </w:t>
      </w:r>
      <m:oMath>
        <m:r>
          <m:t>N</m:t>
        </m:r>
        <m:r>
          <m:t>2</m:t>
        </m:r>
      </m:oMath>
      <w:r>
        <w:t xml:space="preserve"> </w:t>
      </w:r>
      <w:r>
        <w:t xml:space="preserve">physisorption at</w:t>
      </w:r>
      <w:r>
        <w:t xml:space="preserve"> </w:t>
      </w:r>
      <w:r>
        <w:t xml:space="preserve">77 K, in fig. </w:t>
      </w:r>
      <w:hyperlink w:anchor="fig:n2-phys">
        <w:r>
          <w:rPr>
            <w:rStyle w:val="Hyperlink"/>
          </w:rPr>
          <w:t xml:space="preserve">12</w:t>
        </w:r>
      </w:hyperlink>
      <w:r>
        <w:t xml:space="preserve">, SI) commonly observed for mesoporous MOFs</w:t>
      </w:r>
      <w:r>
        <w:t xml:space="preserve"> </w:t>
      </w:r>
      <w:hyperlink w:anchor="X979d953b81a2c50b9c5b652de00ef8716a8a2e2">
        <w:r>
          <w:rPr>
            <w:rStyle w:val="Hyperlink"/>
          </w:rPr>
          <w:t xml:space="preserve">[56]</w:t>
        </w:r>
      </w:hyperlink>
      <w:r>
        <w:t xml:space="preserve">,</w:t>
      </w:r>
      <w:r>
        <w:t xml:space="preserve"> </w:t>
      </w:r>
      <w:hyperlink w:anchor="ref-parkCrystalStructureGuest2007">
        <w:r>
          <w:rPr>
            <w:rStyle w:val="Hyperlink"/>
          </w:rPr>
          <w:t xml:space="preserve">[57]</w:t>
        </w:r>
      </w:hyperlink>
      <w:r>
        <w:t xml:space="preserve"> </w:t>
      </w:r>
      <w:r>
        <w:t xml:space="preserve">and (ii) only a partial</w:t>
      </w:r>
      <w:r>
        <w:t xml:space="preserve"> </w:t>
      </w:r>
      <w:r>
        <w:t xml:space="preserve">accessibility of the super-tetrahedral cages to D4 owing to their relatively small windows. Indeed,</w:t>
      </w:r>
      <w:r>
        <w:t xml:space="preserve"> </w:t>
      </w:r>
      <w:r>
        <w:t xml:space="preserve">while optimized synthesis and activation procedures may recover more of the expected porosity, the</w:t>
      </w:r>
      <w:r>
        <w:t xml:space="preserve"> </w:t>
      </w:r>
      <w:r>
        <w:t xml:space="preserve">attained D4 uptake constitutes a record among porous solids. This positions PCN-777 as the porous</w:t>
      </w:r>
      <w:r>
        <w:t xml:space="preserve"> </w:t>
      </w:r>
      <w:r>
        <w:t xml:space="preserve">material with the highest currently known D4 uptake, almost twice higher than the benchmark</w:t>
      </w:r>
      <w:r>
        <w:t xml:space="preserve"> </w:t>
      </w:r>
      <w:r>
        <w:t xml:space="preserve">MIL-101(Cr), 5–10 times that of the most promising silicas and zeolites, and above the best</w:t>
      </w:r>
      <w:r>
        <w:t xml:space="preserve"> </w:t>
      </w:r>
      <w:r>
        <w:t xml:space="preserve">performing activated carbons as illustrated in fig. </w:t>
      </w:r>
      <w:hyperlink w:anchor="fig:d4-experiment">
        <w:r>
          <w:rPr>
            <w:rStyle w:val="Hyperlink"/>
          </w:rPr>
          <w:t xml:space="preserve">3</w:t>
        </w:r>
      </w:hyperlink>
      <w:r>
        <w:t xml:space="preserve">b</w:t>
      </w:r>
      <w:r>
        <w:t xml:space="preserve"> </w:t>
      </w:r>
      <w:hyperlink w:anchor="ref-wangRecentAdvancesTechnologies2019">
        <w:r>
          <w:rPr>
            <w:rStyle w:val="Hyperlink"/>
          </w:rPr>
          <w:t xml:space="preserve">[4]</w:t>
        </w:r>
      </w:hyperlink>
      <w:r>
        <w:t xml:space="preserve">. Notably, the step-like adsorption behaviour is ideal from the</w:t>
      </w:r>
      <w:r>
        <w:t xml:space="preserve"> </w:t>
      </w:r>
      <w:r>
        <w:t xml:space="preserve">application point of view of a breakthrough filter, as it ensures a narrow mass transfer zone and</w:t>
      </w:r>
      <w:r>
        <w:t xml:space="preserve"> </w:t>
      </w:r>
      <w:r>
        <w:t xml:space="preserve">minimises the column dead zone at break point. Remarkably, the maximum uptake for PCN-777 is</w:t>
      </w:r>
      <w:r>
        <w:t xml:space="preserve"> </w:t>
      </w:r>
      <w:r>
        <w:t xml:space="preserve">attained at low pressure of 7 Pa that makes this MOF highly promising for D4 removal in a gas phase</w:t>
      </w:r>
      <w:r>
        <w:t xml:space="preserve"> </w:t>
      </w:r>
      <w:r>
        <w:t xml:space="preserve">concentration below 75 ppm.</w:t>
      </w:r>
    </w:p>
    <w:p>
      <w:pPr>
        <w:pStyle w:val="BodyText"/>
      </w:pPr>
      <w:r>
        <w:t xml:space="preserve">Throughout desorption (dotted line with open symbols in fig. </w:t>
      </w:r>
      <w:hyperlink w:anchor="fig:d4-experiment">
        <w:r>
          <w:rPr>
            <w:rStyle w:val="Hyperlink"/>
          </w:rPr>
          <w:t xml:space="preserve">3</w:t>
        </w:r>
      </w:hyperlink>
      <w:r>
        <w:t xml:space="preserve">a), a small hysteresis</w:t>
      </w:r>
      <w:r>
        <w:t xml:space="preserve"> </w:t>
      </w:r>
      <w:r>
        <w:t xml:space="preserve">occurs with a width of about 1 Pa. Under complete vacuum, a minute amount of D4, about 0.1 g/g, i.e.</w:t>
      </w:r>
      <w:r>
        <w:t xml:space="preserve"> </w:t>
      </w:r>
      <w:r>
        <w:t xml:space="preserve">5% of total capacity, is retained in the structure. We attribute this capacity loss to D4 molecules</w:t>
      </w:r>
      <w:r>
        <w:t xml:space="preserve"> </w:t>
      </w:r>
      <w:r>
        <w:t xml:space="preserve">irreversibly trapped in the super-tetrahedral cages or on a small fraction of defect sites. Overall,</w:t>
      </w:r>
      <w:r>
        <w:t xml:space="preserve"> </w:t>
      </w:r>
      <w:r>
        <w:t xml:space="preserve">PCN-777 acts as a highly reversible D4-adsorbent. A second sorption cycle reveals the excellent</w:t>
      </w:r>
      <w:r>
        <w:t xml:space="preserve"> </w:t>
      </w:r>
      <w:r>
        <w:t xml:space="preserve">repeatability of D4 sorption by this MOF, with identical condensation pressure and total uptake, the</w:t>
      </w:r>
      <w:r>
        <w:t xml:space="preserve"> </w:t>
      </w:r>
      <w:r>
        <w:t xml:space="preserve">adsorption-desorption branches now overlapping in the very low-pressure region</w:t>
      </w:r>
      <w:r>
        <w:t xml:space="preserve"> </w:t>
      </w:r>
      <w:r>
        <w:t xml:space="preserve">(fig. </w:t>
      </w:r>
      <w:hyperlink w:anchor="fig:d4-experiment">
        <w:r>
          <w:rPr>
            <w:rStyle w:val="Hyperlink"/>
          </w:rPr>
          <w:t xml:space="preserve">3</w:t>
        </w:r>
      </w:hyperlink>
      <w:r>
        <w:t xml:space="preserve">a).</w:t>
      </w:r>
    </w:p>
    <w:p>
      <w:pPr>
        <w:pStyle w:val="CaptionedFigure"/>
      </w:pPr>
      <w:bookmarkStart w:id="38" w:name="fig:d4-mechanistic"/>
      <w:r>
        <w:drawing>
          <wp:inline>
            <wp:extent cx="6311900" cy="5682227"/>
            <wp:effectExtent b="0" l="0" r="0" t="0"/>
            <wp:docPr descr="Figure 4: Representative snapshots of the preferential sitting of D4 in the pores of PCN-777 at 298 K for increasing loading at (a) 10% with highlighted interactions distance between D4 and the MOF framework, and at (b) 40%, (c) 65%, and (d) 100% fractional loading (\theta). Framework atoms (sticks) and D4 molecules (lines, and ball and sticks) are coded as Zr, N, O, Si, C, and H atoms in light blue, dark blue, red, yellow, dark grey, and light grey respectively. The separating distance is represented by dashed black lines and reported in Å." title="" id="1" name="Picture"/>
            <a:graphic>
              <a:graphicData uri="http://schemas.openxmlformats.org/drawingml/2006/picture">
                <pic:pic>
                  <pic:nvPicPr>
                    <pic:cNvPr descr="figs/mechanistic.png" id="0" name="Picture"/>
                    <pic:cNvPicPr>
                      <a:picLocks noChangeArrowheads="1" noChangeAspect="1"/>
                    </pic:cNvPicPr>
                  </pic:nvPicPr>
                  <pic:blipFill>
                    <a:blip r:embed="rId37"/>
                    <a:stretch>
                      <a:fillRect/>
                    </a:stretch>
                  </pic:blipFill>
                  <pic:spPr bwMode="auto">
                    <a:xfrm>
                      <a:off x="0" y="0"/>
                      <a:ext cx="6311900" cy="5682227"/>
                    </a:xfrm>
                    <a:prstGeom prst="rect">
                      <a:avLst/>
                    </a:prstGeom>
                    <a:noFill/>
                    <a:ln w="9525">
                      <a:noFill/>
                      <a:headEnd/>
                      <a:tailEnd/>
                    </a:ln>
                  </pic:spPr>
                </pic:pic>
              </a:graphicData>
            </a:graphic>
          </wp:inline>
        </w:drawing>
      </w:r>
      <w:bookmarkEnd w:id="38"/>
    </w:p>
    <w:p>
      <w:pPr>
        <w:pStyle w:val="ImageCaption"/>
      </w:pPr>
      <w:r>
        <w:t xml:space="preserve">Figure 4: Representative snapshots of the preferential sitting of D4 in the pores of PCN-777 at 298 K for</w:t>
      </w:r>
      <w:r>
        <w:t xml:space="preserve"> </w:t>
      </w:r>
      <w:r>
        <w:t xml:space="preserve">increasing loading at (a) 10% with highlighted interactions distance between D4 and the MOF</w:t>
      </w:r>
      <w:r>
        <w:t xml:space="preserve"> </w:t>
      </w:r>
      <w:r>
        <w:t xml:space="preserve">framework, and at (b) 40%, (c) 65%, and (d) 100% fractional loading (</w:t>
      </w:r>
      <m:oMath>
        <m:r>
          <m:t>θ</m:t>
        </m:r>
      </m:oMath>
      <w:r>
        <w:t xml:space="preserve">). Framework atoms</w:t>
      </w:r>
      <w:r>
        <w:t xml:space="preserve"> </w:t>
      </w:r>
      <w:r>
        <w:t xml:space="preserve">(sticks) and D4 molecules (lines, and ball and sticks) are coded as Zr, N, O, Si, C, and H atoms in</w:t>
      </w:r>
      <w:r>
        <w:t xml:space="preserve"> </w:t>
      </w:r>
      <w:r>
        <w:t xml:space="preserve">light blue, dark blue, red, yellow, dark grey, and light grey respectively. The separating distance</w:t>
      </w:r>
      <w:r>
        <w:t xml:space="preserve"> </w:t>
      </w:r>
      <w:r>
        <w:t xml:space="preserve">is represented by dashed black lines and reported in Å.</w:t>
      </w:r>
    </w:p>
    <w:p>
      <w:pPr>
        <w:pStyle w:val="BodyText"/>
      </w:pPr>
      <w:r>
        <w:t xml:space="preserve">To further investigate the D4 adsorption-desorption cyclability of PCN-777, a subsequent set of five</w:t>
      </w:r>
      <w:r>
        <w:t xml:space="preserve"> </w:t>
      </w:r>
      <w:r>
        <w:t xml:space="preserve">cycles was recorded on the same sample, covering the entire uptake range from fully loaded to empty</w:t>
      </w:r>
      <w:r>
        <w:t xml:space="preserve"> </w:t>
      </w:r>
      <w:r>
        <w:t xml:space="preserve">under a medium vacuum level of 0.5 Pa (see fig. </w:t>
      </w:r>
      <w:hyperlink w:anchor="fig:d4-experiment">
        <w:r>
          <w:rPr>
            <w:rStyle w:val="Hyperlink"/>
          </w:rPr>
          <w:t xml:space="preserve">3</w:t>
        </w:r>
      </w:hyperlink>
      <w:r>
        <w:t xml:space="preserve">c). No further capacity loss is</w:t>
      </w:r>
      <w:r>
        <w:t xml:space="preserve"> </w:t>
      </w:r>
      <w:r>
        <w:t xml:space="preserve">observed after the initial 5 wt% from cycle 1 to cycle 2 with a pressure drop sufficient to fully</w:t>
      </w:r>
      <w:r>
        <w:t xml:space="preserve"> </w:t>
      </w:r>
      <w:r>
        <w:t xml:space="preserve">remove adsorbed D4 in every cycle without the need of thermal treatment. This is a leap forward</w:t>
      </w:r>
      <w:r>
        <w:t xml:space="preserve"> </w:t>
      </w:r>
      <w:r>
        <w:t xml:space="preserve">compared to the previous MOF candidates, i.e. MIL-101(Cr) and DUT-4. The former was reported</w:t>
      </w:r>
      <w:r>
        <w:t xml:space="preserve"> </w:t>
      </w:r>
      <w:hyperlink w:anchor="ref-gargiuloChromiumbasedMIL101Metal2019">
        <w:r>
          <w:rPr>
            <w:rStyle w:val="Hyperlink"/>
          </w:rPr>
          <w:t xml:space="preserve">[22]</w:t>
        </w:r>
      </w:hyperlink>
      <w:r>
        <w:t xml:space="preserve"> </w:t>
      </w:r>
      <w:r>
        <w:t xml:space="preserve">to be fully regenerable at only high temperatures (outgassed</w:t>
      </w:r>
      <w:r>
        <w:t xml:space="preserve"> </w:t>
      </w:r>
      <w:r>
        <w:t xml:space="preserve">under vacuum at 423 K), and we note that vacuum alone was unable to fully desorb D4, with nearly 50%</w:t>
      </w:r>
      <w:r>
        <w:t xml:space="preserve"> </w:t>
      </w:r>
      <w:r>
        <w:t xml:space="preserve">of siloxane remaining in the structure after desorption in our experiments (fig. </w:t>
      </w:r>
      <w:hyperlink w:anchor="fig:d4-benchmark">
        <w:r>
          <w:rPr>
            <w:rStyle w:val="Hyperlink"/>
          </w:rPr>
          <w:t xml:space="preserve">14</w:t>
        </w:r>
      </w:hyperlink>
      <w:r>
        <w:t xml:space="preserve">,</w:t>
      </w:r>
      <w:r>
        <w:t xml:space="preserve"> </w:t>
      </w:r>
      <w:r>
        <w:t xml:space="preserve">SI). D4 adsorption in DUT-4 is even more irreversible, owing to the strong confinement of the</w:t>
      </w:r>
      <w:r>
        <w:t xml:space="preserve"> </w:t>
      </w:r>
      <w:r>
        <w:t xml:space="preserve">siloxane molecules in its pores</w:t>
      </w:r>
      <w:r>
        <w:t xml:space="preserve"> </w:t>
      </w:r>
      <w:hyperlink w:anchor="ref-mito-okaSiloxaneD4Capture2013">
        <w:r>
          <w:rPr>
            <w:rStyle w:val="Hyperlink"/>
          </w:rPr>
          <w:t xml:space="preserve">[21]</w:t>
        </w:r>
      </w:hyperlink>
      <w:r>
        <w:t xml:space="preserve">, with essentially no desorption</w:t>
      </w:r>
      <w:r>
        <w:t xml:space="preserve"> </w:t>
      </w:r>
      <w:r>
        <w:t xml:space="preserve">observed under vacuum (fig. </w:t>
      </w:r>
      <w:hyperlink w:anchor="fig:d4-benchmark">
        <w:r>
          <w:rPr>
            <w:rStyle w:val="Hyperlink"/>
          </w:rPr>
          <w:t xml:space="preserve">14</w:t>
        </w:r>
      </w:hyperlink>
      <w:r>
        <w:t xml:space="preserve">, SI). The global sorption kinetics was further</w:t>
      </w:r>
      <w:r>
        <w:t xml:space="preserve"> </w:t>
      </w:r>
      <w:r>
        <w:t xml:space="preserve">qualitatively evaluated by observing the equilibration time throughout cycling steps.</w:t>
      </w:r>
      <w:r>
        <w:t xml:space="preserve"> </w:t>
      </w:r>
      <w:r>
        <w:t xml:space="preserve">fig. </w:t>
      </w:r>
      <w:hyperlink w:anchor="fig:d4-experiment">
        <w:r>
          <w:rPr>
            <w:rStyle w:val="Hyperlink"/>
          </w:rPr>
          <w:t xml:space="preserve">3</w:t>
        </w:r>
      </w:hyperlink>
      <w:r>
        <w:t xml:space="preserve">c reveals that an adsorption/desorption cycle can be achieved in less than 30</w:t>
      </w:r>
      <w:r>
        <w:t xml:space="preserve"> </w:t>
      </w:r>
      <w:r>
        <w:t xml:space="preserve">minutes. Such a fast kinetics is a clear advantage for practical use. In addition, the water</w:t>
      </w:r>
      <w:r>
        <w:t xml:space="preserve"> </w:t>
      </w:r>
      <w:r>
        <w:t xml:space="preserve">adsorption collected for PCN-777 further confirmed its predicted hydrophobicity and revealed that</w:t>
      </w:r>
      <w:r>
        <w:t xml:space="preserve"> </w:t>
      </w:r>
      <w:r>
        <w:t xml:space="preserve">below $P=$7 Pa, water loading is negligible, i.e. under 0.02 g/g (see fig. </w:t>
      </w:r>
      <w:hyperlink w:anchor="fig:d4-experiment">
        <w:r>
          <w:rPr>
            <w:rStyle w:val="Hyperlink"/>
          </w:rPr>
          <w:t xml:space="preserve">3</w:t>
        </w:r>
      </w:hyperlink>
      <w:r>
        <w:t xml:space="preserve">a). This</w:t>
      </w:r>
      <w:r>
        <w:t xml:space="preserve"> </w:t>
      </w:r>
      <w:r>
        <w:t xml:space="preserve">observation strongly suggests that PCN-777 is expected to maintain its high-level performance for D4</w:t>
      </w:r>
      <w:r>
        <w:t xml:space="preserve"> </w:t>
      </w:r>
      <w:r>
        <w:t xml:space="preserve">removal under low to moderate humidity working conditions.</w:t>
      </w:r>
    </w:p>
    <w:p>
      <w:pPr>
        <w:pStyle w:val="BodyText"/>
      </w:pPr>
      <w:r>
        <w:t xml:space="preserve">Finally, stability of PCN-777 after its use as a D4 adsorbent was evaluated by checking its</w:t>
      </w:r>
      <w:r>
        <w:t xml:space="preserve"> </w:t>
      </w:r>
      <w:r>
        <w:t xml:space="preserve">crystallinity and porosity. PXRD patterns recorded after the D4 cycling experiments show similar</w:t>
      </w:r>
      <w:r>
        <w:t xml:space="preserve"> </w:t>
      </w:r>
      <w:r>
        <w:t xml:space="preserve">Bragg peak positions and broadenings as the pristine material, testifying that no amorphisation or</w:t>
      </w:r>
      <w:r>
        <w:t xml:space="preserve"> </w:t>
      </w:r>
      <w:r>
        <w:t xml:space="preserve">decrease of crystallinity were incurred (fig. </w:t>
      </w:r>
      <w:hyperlink w:anchor="fig:d4-experiment">
        <w:r>
          <w:rPr>
            <w:rStyle w:val="Hyperlink"/>
          </w:rPr>
          <w:t xml:space="preserve">3</w:t>
        </w:r>
      </w:hyperlink>
      <w:r>
        <w:t xml:space="preserve">d). The same conclusion holds true for</w:t>
      </w:r>
      <w:r>
        <w:t xml:space="preserve"> </w:t>
      </w:r>
      <w:r>
        <w:t xml:space="preserve">PCN-777 upon water adsorption. Further,</w:t>
      </w:r>
      <w:r>
        <w:t xml:space="preserve"> </w:t>
      </w:r>
      <m:oMath>
        <m:r>
          <m:t>N</m:t>
        </m:r>
        <m:r>
          <m:t>2</m:t>
        </m:r>
      </m:oMath>
      <w:r>
        <w:t xml:space="preserve"> </w:t>
      </w:r>
      <w:r>
        <w:t xml:space="preserve">adsorption isotherms collected at 77 K for PCN-777</w:t>
      </w:r>
      <w:r>
        <w:t xml:space="preserve"> </w:t>
      </w:r>
      <w:r>
        <w:t xml:space="preserve">after</w:t>
      </w:r>
      <w:r>
        <w:t xml:space="preserve"> </w:t>
      </w:r>
      <m:oMath>
        <m:r>
          <m:t>H</m:t>
        </m:r>
        <m:r>
          <m:t>2</m:t>
        </m:r>
        <m:r>
          <m:t>O</m:t>
        </m:r>
      </m:oMath>
      <w:r>
        <w:t xml:space="preserve"> </w:t>
      </w:r>
      <w:r>
        <w:t xml:space="preserve">and D4 adsorption both present a similar shape than that of the pristine solid (see</w:t>
      </w:r>
      <w:r>
        <w:t xml:space="preserve"> </w:t>
      </w:r>
      <w:r>
        <w:t xml:space="preserve">fig. </w:t>
      </w:r>
      <w:hyperlink w:anchor="fig:n2-phys">
        <w:r>
          <w:rPr>
            <w:rStyle w:val="Hyperlink"/>
          </w:rPr>
          <w:t xml:space="preserve">12</w:t>
        </w:r>
      </w:hyperlink>
      <w:r>
        <w:t xml:space="preserve">) while slightly lower pore volume (1.87 cm</w:t>
      </w:r>
      <w:r>
        <w:rPr>
          <w:vertAlign w:val="superscript"/>
        </w:rPr>
        <w:t xml:space="preserve">3</w:t>
      </w:r>
      <w:r>
        <w:t xml:space="preserve">/g vs 2.20 cm</w:t>
      </w:r>
      <w:r>
        <w:rPr>
          <w:vertAlign w:val="superscript"/>
        </w:rPr>
        <w:t xml:space="preserve">3</w:t>
      </w:r>
      <w:r>
        <w:t xml:space="preserve">/g) and BET area</w:t>
      </w:r>
      <w:r>
        <w:t xml:space="preserve"> </w:t>
      </w:r>
      <w:r>
        <w:t xml:space="preserve">(1544 m</w:t>
      </w:r>
      <w:r>
        <w:rPr>
          <w:vertAlign w:val="superscript"/>
        </w:rPr>
        <w:t xml:space="preserve">2</w:t>
      </w:r>
      <w:r>
        <w:t xml:space="preserve">/g vs 1730 m</w:t>
      </w:r>
      <w:r>
        <w:rPr>
          <w:vertAlign w:val="superscript"/>
        </w:rPr>
        <w:t xml:space="preserve">2</w:t>
      </w:r>
      <w:r>
        <w:t xml:space="preserve">/g) were obtained for the material after D4 cycling, attributed to the</w:t>
      </w:r>
      <w:r>
        <w:t xml:space="preserve"> </w:t>
      </w:r>
      <w:r>
        <w:t xml:space="preserve">small amount of D4 retained in the porous framework during the first adsorption cycle.</w:t>
      </w:r>
    </w:p>
    <w:bookmarkEnd w:id="39"/>
    <w:bookmarkStart w:id="40" w:name="adsorption-mechanism"/>
    <w:p>
      <w:pPr>
        <w:pStyle w:val="Heading2"/>
      </w:pPr>
      <w:r>
        <w:t xml:space="preserve">Adsorption mechanism</w:t>
      </w:r>
    </w:p>
    <w:p>
      <w:pPr>
        <w:pStyle w:val="FirstParagraph"/>
      </w:pPr>
      <w:r>
        <w:t xml:space="preserve">A careful analysis of the adsorption mechanism of D4 in PCN-777 was further explored by considering</w:t>
      </w:r>
      <w:r>
        <w:t xml:space="preserve"> </w:t>
      </w:r>
      <w:r>
        <w:t xml:space="preserve">MC simulations in the canonical ensemble with increasing loading up to the saturation (see</w:t>
      </w:r>
      <w:r>
        <w:t xml:space="preserve"> </w:t>
      </w:r>
      <w:r>
        <w:t xml:space="preserve">methodology section for computational details). At the initial stage of adsorption, the coordinated</w:t>
      </w:r>
      <w:r>
        <w:t xml:space="preserve"> </w:t>
      </w:r>
      <w:r>
        <w:t xml:space="preserve">OH/</w:t>
      </w:r>
      <m:oMath>
        <m:r>
          <m:t>H</m:t>
        </m:r>
        <m:r>
          <m:t>2</m:t>
        </m:r>
        <m:r>
          <m:t>O</m:t>
        </m:r>
      </m:oMath>
      <w:r>
        <w:t xml:space="preserve"> </w:t>
      </w:r>
      <w:r>
        <w:t xml:space="preserve">moieties of the MOF</w:t>
      </w:r>
      <w:r>
        <w:t xml:space="preserve"> </w:t>
      </w:r>
      <m:oMath>
        <m:r>
          <m:t>Z</m:t>
        </m:r>
        <m:r>
          <m:t>r</m:t>
        </m:r>
        <m:r>
          <m:t>6</m:t>
        </m:r>
        <m:r>
          <m:t>O</m:t>
        </m:r>
        <m:r>
          <m:t>4</m:t>
        </m:r>
      </m:oMath>
      <w:r>
        <w:t xml:space="preserve"> </w:t>
      </w:r>
      <w:r>
        <w:t xml:space="preserve">polyhedra pointing towards the pore were found to act</w:t>
      </w:r>
      <w:r>
        <w:t xml:space="preserve"> </w:t>
      </w:r>
      <w:r>
        <w:t xml:space="preserve">as primary adsorption sites (fig. </w:t>
      </w:r>
      <w:hyperlink w:anchor="fig:d4-mechanistic">
        <w:r>
          <w:rPr>
            <w:rStyle w:val="Hyperlink"/>
          </w:rPr>
          <w:t xml:space="preserve">4</w:t>
        </w:r>
      </w:hyperlink>
      <w:r>
        <w:t xml:space="preserve">a). The D4 molecule interacts mostly via its</w:t>
      </w:r>
      <w:r>
        <w:t xml:space="preserve"> </w:t>
      </w:r>
      <w:r>
        <w:t xml:space="preserve">methyl group with an averaged separating</w:t>
      </w:r>
      <w:r>
        <w:t xml:space="preserve"> </w:t>
      </w:r>
      <m:oMath>
        <m:r>
          <m:t>H</m:t>
        </m:r>
        <m:r>
          <m:rPr>
            <m:sty m:val="p"/>
          </m:rPr>
          <m:t>(</m:t>
        </m:r>
        <m:r>
          <m:t>C</m:t>
        </m:r>
        <m:r>
          <m:t>H</m:t>
        </m:r>
        <m:r>
          <m:t>3</m:t>
        </m:r>
        <m:r>
          <m:rPr>
            <m:sty m:val="p"/>
          </m:rPr>
          <m:t>)</m:t>
        </m:r>
        <m:r>
          <m:rPr>
            <m:sty m:val="p"/>
          </m:rPr>
          <m:t>−</m:t>
        </m:r>
        <m:r>
          <m:t>H</m:t>
        </m:r>
        <m:r>
          <m:rPr>
            <m:sty m:val="p"/>
          </m:rPr>
          <m:t>(</m:t>
        </m:r>
        <m:r>
          <m:t>H</m:t>
        </m:r>
        <m:r>
          <m:t>2</m:t>
        </m:r>
        <m:r>
          <m:t>O</m:t>
        </m:r>
        <m:r>
          <m:rPr>
            <m:sty m:val="p"/>
          </m:rPr>
          <m:t>)</m:t>
        </m:r>
      </m:oMath>
      <w:r>
        <w:t xml:space="preserve"> </w:t>
      </w:r>
      <w:r>
        <w:t xml:space="preserve">distance of 2.8 Å (see the radial</w:t>
      </w:r>
      <w:r>
        <w:t xml:space="preserve"> </w:t>
      </w:r>
      <w:r>
        <w:t xml:space="preserve">distribution function plotted for the corresponding pair in fig. </w:t>
      </w:r>
      <w:hyperlink w:anchor="fig:d4-rdf">
        <w:r>
          <w:rPr>
            <w:rStyle w:val="Hyperlink"/>
          </w:rPr>
          <w:t xml:space="preserve">9</w:t>
        </w:r>
      </w:hyperlink>
      <w:r>
        <w:t xml:space="preserve">a) as illustrated in</w:t>
      </w:r>
      <w:r>
        <w:t xml:space="preserve"> </w:t>
      </w:r>
      <w:r>
        <w:t xml:space="preserve">fig. </w:t>
      </w:r>
      <w:hyperlink w:anchor="fig:d4-mechanistic">
        <w:r>
          <w:rPr>
            <w:rStyle w:val="Hyperlink"/>
          </w:rPr>
          <w:t xml:space="preserve">4</w:t>
        </w:r>
      </w:hyperlink>
      <w:r>
        <w:t xml:space="preserve">a. This preferential sitting of D4 is associated with a moderately high</w:t>
      </w:r>
      <w:r>
        <w:t xml:space="preserve"> </w:t>
      </w:r>
      <w:r>
        <w:t xml:space="preserve">simulated adsorption enthalpy of 83.5 kJ/mol in line with the isosteric heat of adsorption we</w:t>
      </w:r>
      <w:r>
        <w:t xml:space="preserve"> </w:t>
      </w:r>
      <w:r>
        <w:t xml:space="preserve">assessed experimentally that ranges from 65 and 75 kJ/mol (fig. </w:t>
      </w:r>
      <w:hyperlink w:anchor="fig:isosteric-enth">
        <w:r>
          <w:rPr>
            <w:rStyle w:val="Hyperlink"/>
          </w:rPr>
          <w:t xml:space="preserve">15</w:t>
        </w:r>
      </w:hyperlink>
      <w:r>
        <w:t xml:space="preserve">). Both values are</w:t>
      </w:r>
      <w:r>
        <w:t xml:space="preserve"> </w:t>
      </w:r>
      <w:r>
        <w:t xml:space="preserve">slightly higher than the enthalpy of liquefaction of D4 at 303 K as 54.5 kJ/mol</w:t>
      </w:r>
      <w:r>
        <w:t xml:space="preserve"> </w:t>
      </w:r>
      <w:hyperlink w:anchor="ref-lemmonNISTStandardReference2018">
        <w:r>
          <w:rPr>
            <w:rStyle w:val="Hyperlink"/>
          </w:rPr>
          <w:t xml:space="preserve">[46]</w:t>
        </w:r>
      </w:hyperlink>
      <w:r>
        <w:t xml:space="preserve">. We further demonstrated that this value remains substantially</w:t>
      </w:r>
      <w:r>
        <w:t xml:space="preserve"> </w:t>
      </w:r>
      <w:r>
        <w:t xml:space="preserve">lower than the one simulated for DUT-4 (194.0 kJ/mol) for which the adsorption of D4 is governed by</w:t>
      </w:r>
      <w:r>
        <w:t xml:space="preserve"> </w:t>
      </w:r>
      <w:r>
        <w:t xml:space="preserve">a high degree of confinement leading to an irreversible process. This observation clearly states</w:t>
      </w:r>
      <w:r>
        <w:t xml:space="preserve"> </w:t>
      </w:r>
      <w:r>
        <w:t xml:space="preserve">that the adsorption energetics in PCN-777 offers a good compromise to ensure an efficient adsorption</w:t>
      </w:r>
      <w:r>
        <w:t xml:space="preserve"> </w:t>
      </w:r>
      <w:r>
        <w:t xml:space="preserve">of D4 as well as an almost fully reversible and fast adsorption/desorption process. While increasing</w:t>
      </w:r>
      <w:r>
        <w:t xml:space="preserve"> </w:t>
      </w:r>
      <w:r>
        <w:t xml:space="preserve">the loading, D4 molecules tend to form a monolayer near the wall of the cage owing to their</w:t>
      </w:r>
      <w:r>
        <w:t xml:space="preserve"> </w:t>
      </w:r>
      <w:r>
        <w:t xml:space="preserve">interactions with both the organic linkers and inorganic nodes of the MOF as shown in</w:t>
      </w:r>
      <w:r>
        <w:t xml:space="preserve"> </w:t>
      </w:r>
      <w:r>
        <w:t xml:space="preserve">fig. </w:t>
      </w:r>
      <w:hyperlink w:anchor="fig:d4-mechanistic">
        <w:r>
          <w:rPr>
            <w:rStyle w:val="Hyperlink"/>
          </w:rPr>
          <w:t xml:space="preserve">4</w:t>
        </w:r>
      </w:hyperlink>
      <w:r>
        <w:t xml:space="preserve">b-c. Finally, at higher loading, the molecules form multilayers and further</w:t>
      </w:r>
      <w:r>
        <w:t xml:space="preserve"> </w:t>
      </w:r>
      <w:r>
        <w:t xml:space="preserve">occupy the whole cage corresponding to the scenario of the capillary condensation</w:t>
      </w:r>
      <w:r>
        <w:t xml:space="preserve"> </w:t>
      </w:r>
      <w:r>
        <w:t xml:space="preserve">(fig. </w:t>
      </w:r>
      <w:hyperlink w:anchor="fig:d4-mechanistic">
        <w:r>
          <w:rPr>
            <w:rStyle w:val="Hyperlink"/>
          </w:rPr>
          <w:t xml:space="preserve">4</w:t>
        </w:r>
      </w:hyperlink>
      <w:r>
        <w:t xml:space="preserve">d). This effective packing is governed by guest-guest interactions involving</w:t>
      </w:r>
      <w:r>
        <w:t xml:space="preserve"> </w:t>
      </w:r>
      <w:r>
        <w:t xml:space="preserve">averaged separating</w:t>
      </w:r>
      <w:r>
        <w:t xml:space="preserve"> </w:t>
      </w:r>
      <m:oMath>
        <m:r>
          <m:t>H</m:t>
        </m:r>
        <m:r>
          <m:rPr>
            <m:sty m:val="p"/>
          </m:rPr>
          <m:t>(</m:t>
        </m:r>
        <m:r>
          <m:t>C</m:t>
        </m:r>
        <m:r>
          <m:t>H</m:t>
        </m:r>
        <m:r>
          <m:t>3</m:t>
        </m:r>
        <m:r>
          <m:rPr>
            <m:sty m:val="p"/>
          </m:rPr>
          <m:t>)</m:t>
        </m:r>
        <m:r>
          <m:rPr>
            <m:sty m:val="p"/>
          </m:rPr>
          <m:t>−</m:t>
        </m:r>
        <m:r>
          <m:t>H</m:t>
        </m:r>
        <m:r>
          <m:rPr>
            <m:sty m:val="p"/>
          </m:rPr>
          <m:t>(</m:t>
        </m:r>
        <m:r>
          <m:t>C</m:t>
        </m:r>
        <m:r>
          <m:t>H</m:t>
        </m:r>
        <m:r>
          <m:t>3</m:t>
        </m:r>
        <m:r>
          <m:rPr>
            <m:sty m:val="p"/>
          </m:rPr>
          <m:t>)</m:t>
        </m:r>
      </m:oMath>
      <w:r>
        <w:t xml:space="preserve"> </w:t>
      </w:r>
      <w:r>
        <w:t xml:space="preserve">distance of 2.7 Å at saturation (the radial distribution</w:t>
      </w:r>
      <w:r>
        <w:t xml:space="preserve"> </w:t>
      </w:r>
      <w:r>
        <w:t xml:space="preserve">function plotted for this pair is shown in fig. </w:t>
      </w:r>
      <w:hyperlink w:anchor="fig:d4-rdf">
        <w:r>
          <w:rPr>
            <w:rStyle w:val="Hyperlink"/>
          </w:rPr>
          <w:t xml:space="preserve">9</w:t>
        </w:r>
      </w:hyperlink>
      <w:r>
        <w:t xml:space="preserve">b). Such pore filling mechanism has been</w:t>
      </w:r>
      <w:r>
        <w:t xml:space="preserve"> </w:t>
      </w:r>
      <w:r>
        <w:t xml:space="preserve">commonly observed in diverse mesoporous materials for a range of molecules</w:t>
      </w:r>
      <w:r>
        <w:t xml:space="preserve"> </w:t>
      </w:r>
      <w:hyperlink w:anchor="ref-rouquerolAdsorptionPowdersPorous2013">
        <w:r>
          <w:rPr>
            <w:rStyle w:val="Hyperlink"/>
          </w:rPr>
          <w:t xml:space="preserve">[58]</w:t>
        </w:r>
      </w:hyperlink>
      <w:r>
        <w:t xml:space="preserve">. Indeed, PCN-777 exhibits an ideal combination of a large</w:t>
      </w:r>
      <w:r>
        <w:t xml:space="preserve"> </w:t>
      </w:r>
      <w:r>
        <w:t xml:space="preserve">cage to enable an effective packing of the siloxane molecules and the presence of moieties</w:t>
      </w:r>
      <w:r>
        <w:t xml:space="preserve"> </w:t>
      </w:r>
      <w:r>
        <w:t xml:space="preserve">accessible to D4 to favour host/guest interactions strong enough to ensure an efficient trapping of</w:t>
      </w:r>
      <w:r>
        <w:t xml:space="preserve"> </w:t>
      </w:r>
      <w:r>
        <w:t xml:space="preserve">the D4 molecules initially adsorbed.</w:t>
      </w:r>
    </w:p>
    <w:bookmarkEnd w:id="40"/>
    <w:bookmarkEnd w:id="41"/>
    <w:bookmarkStart w:id="42" w:name="conclusions"/>
    <w:p>
      <w:pPr>
        <w:pStyle w:val="Heading1"/>
      </w:pPr>
      <w:r>
        <w:t xml:space="preserve">Conclusions</w:t>
      </w:r>
    </w:p>
    <w:p>
      <w:pPr>
        <w:pStyle w:val="FirstParagraph"/>
      </w:pPr>
      <w:r>
        <w:t xml:space="preserve">In this work, a high throughput computational screening first identified a series of hydrophobic</w:t>
      </w:r>
      <w:r>
        <w:t xml:space="preserve"> </w:t>
      </w:r>
      <w:r>
        <w:t xml:space="preserve">MOFs with octamethylcyclotetrasiloxane uptakes outperforming by far the performance of the</w:t>
      </w:r>
      <w:r>
        <w:t xml:space="preserve"> </w:t>
      </w:r>
      <w:r>
        <w:t xml:space="preserve">conventional adsorbents. The best-predicted MOF performer, PCN-777, was synthesized and its</w:t>
      </w:r>
      <w:r>
        <w:t xml:space="preserve"> </w:t>
      </w:r>
      <w:r>
        <w:t xml:space="preserve">predicted exceptional adsorption capacity for this typical contaminant present in biogas was further</w:t>
      </w:r>
      <w:r>
        <w:t xml:space="preserve"> </w:t>
      </w:r>
      <w:r>
        <w:t xml:space="preserve">experimentally confirmed. This stable MOF was demonstrated to exhibit record gravimetric (1.8 g/g)</w:t>
      </w:r>
      <w:r>
        <w:t xml:space="preserve"> </w:t>
      </w:r>
      <w:r>
        <w:t xml:space="preserve">and volumetric (0.49 g/cm</w:t>
      </w:r>
      <w:r>
        <w:rPr>
          <w:vertAlign w:val="superscript"/>
        </w:rPr>
        <w:t xml:space="preserve">3</w:t>
      </w:r>
      <w:r>
        <w:t xml:space="preserve">) uptake alongside with a reversible and fast adsorption/desorption</w:t>
      </w:r>
      <w:r>
        <w:t xml:space="preserve"> </w:t>
      </w:r>
      <w:r>
        <w:t xml:space="preserve">process, very good cyclability and easy regeneration under continuous pressure cycling owing to a</w:t>
      </w:r>
      <w:r>
        <w:t xml:space="preserve"> </w:t>
      </w:r>
      <w:r>
        <w:t xml:space="preserve">step-like sorption isotherm. The attractiveness of PCN-777 was found to result from a synergistic</w:t>
      </w:r>
      <w:r>
        <w:t xml:space="preserve"> </w:t>
      </w:r>
      <w:r>
        <w:t xml:space="preserve">combination of mesoporous cages and chemical functionality pointing towards the center of the cages</w:t>
      </w:r>
      <w:r>
        <w:t xml:space="preserve"> </w:t>
      </w:r>
      <w:r>
        <w:t xml:space="preserve">to ensure moderately high host/guest interactions and favour an efficient removal of D4 at low</w:t>
      </w:r>
      <w:r>
        <w:t xml:space="preserve"> </w:t>
      </w:r>
      <w:r>
        <w:t xml:space="preserve">pressure and an efficient packing of the siloxane molecules at higher pressure while maintaining the</w:t>
      </w:r>
      <w:r>
        <w:t xml:space="preserve"> </w:t>
      </w:r>
      <w:r>
        <w:t xml:space="preserve">process highly reversible. Moreover, its hydrophobicity makes this MOF promising for the selective</w:t>
      </w:r>
      <w:r>
        <w:t xml:space="preserve"> </w:t>
      </w:r>
      <w:r>
        <w:t xml:space="preserve">removal of siloxanes in moderate humidity conditions. In a broader sense, this study highlights the</w:t>
      </w:r>
      <w:r>
        <w:t xml:space="preserve"> </w:t>
      </w:r>
      <w:r>
        <w:t xml:space="preserve">efficacy of an integrated workflow for accelerating the selection of adsorbents for a target</w:t>
      </w:r>
      <w:r>
        <w:t xml:space="preserve"> </w:t>
      </w:r>
      <w:r>
        <w:t xml:space="preserve">application, spanning the entire pipeline from method validation to computational screening,</w:t>
      </w:r>
      <w:r>
        <w:t xml:space="preserve"> </w:t>
      </w:r>
      <w:r>
        <w:t xml:space="preserve">synthesis, adsorption testing and finally identification of the optimal candidates.</w:t>
      </w:r>
    </w:p>
    <w:bookmarkEnd w:id="42"/>
    <w:bookmarkStart w:id="43" w:name="acknowledgements"/>
    <w:p>
      <w:pPr>
        <w:pStyle w:val="Heading1"/>
      </w:pPr>
      <w:r>
        <w:t xml:space="preserve">Acknowledgements</w:t>
      </w:r>
    </w:p>
    <w:p>
      <w:pPr>
        <w:pStyle w:val="FirstParagraph"/>
      </w:pPr>
      <w:r>
        <w:t xml:space="preserve">We thank Centre National d’Etudes Spatiales for research funding (R&amp;T n° R-S20/MT-0002-03 and PhD).</w:t>
      </w:r>
      <w:r>
        <w:t xml:space="preserve"> </w:t>
      </w:r>
      <w:r>
        <w:t xml:space="preserve">PXRD experiments were performed with the support of the Balard Plateforme d’Analyses et de</w:t>
      </w:r>
      <w:r>
        <w:t xml:space="preserve"> </w:t>
      </w:r>
      <w:r>
        <w:t xml:space="preserve">Caractérisation (PAC Balard).</w:t>
      </w:r>
    </w:p>
    <w:bookmarkEnd w:id="43"/>
    <w:bookmarkStart w:id="44" w:name="author-contributions"/>
    <w:p>
      <w:pPr>
        <w:pStyle w:val="Heading1"/>
      </w:pPr>
      <w:r>
        <w:t xml:space="preserve">Author contributions</w:t>
      </w:r>
    </w:p>
    <w:p>
      <w:pPr>
        <w:pStyle w:val="FirstParagraph"/>
      </w:pPr>
      <w:r>
        <w:t xml:space="preserve">There are no conflicts of interest to declare.</w:t>
      </w:r>
    </w:p>
    <w:bookmarkEnd w:id="44"/>
    <w:bookmarkStart w:id="220" w:name="supplementary-information"/>
    <w:p>
      <w:pPr>
        <w:pStyle w:val="Heading1"/>
      </w:pPr>
      <w:r>
        <w:t xml:space="preserve">Supplementary Information</w:t>
      </w:r>
    </w:p>
    <w:bookmarkStart w:id="76" w:name="si-computational-details"/>
    <w:p>
      <w:pPr>
        <w:pStyle w:val="Heading2"/>
      </w:pPr>
      <w:r>
        <w:t xml:space="preserve">Computational details</w:t>
      </w:r>
    </w:p>
    <w:bookmarkStart w:id="51" w:name="force-field-parameters-for-d4"/>
    <w:p>
      <w:pPr>
        <w:pStyle w:val="Heading3"/>
      </w:pPr>
      <w:r>
        <w:t xml:space="preserve">Force field parameters for D4</w:t>
      </w:r>
    </w:p>
    <w:p>
      <w:pPr>
        <w:pStyle w:val="FirstParagraph"/>
      </w:pPr>
      <w:r>
        <w:t xml:space="preserve">D4 was modelled as a semi-flexible molecule with an all atom atomistic model. All intramolecular</w:t>
      </w:r>
      <w:r>
        <w:t xml:space="preserve"> </w:t>
      </w:r>
      <w:r>
        <w:t xml:space="preserve">bonds, angles, dihedrals, and cross terms parameters for methyl groups were taken from the</w:t>
      </w:r>
      <w:r>
        <w:t xml:space="preserve"> </w:t>
      </w:r>
      <w:r>
        <w:t xml:space="preserve">consistent-valence force field (CVFF).</w:t>
      </w:r>
      <w:r>
        <w:t xml:space="preserve"> </w:t>
      </w:r>
      <w:hyperlink w:anchor="X73614b257bdd871e78e6571fa5cd0b15764920c">
        <w:r>
          <w:rPr>
            <w:rStyle w:val="Hyperlink"/>
          </w:rPr>
          <w:t xml:space="preserve">[38]</w:t>
        </w:r>
      </w:hyperlink>
    </w:p>
    <w:p>
      <w:pPr>
        <w:pStyle w:val="BodyText"/>
      </w:pPr>
      <w:r>
        <w:rPr>
          <w:bCs/>
          <w:b/>
        </w:rPr>
        <w:t xml:space="preserve">Harmonic Bond</w:t>
      </w:r>
    </w:p>
    <w:p>
      <w:pPr>
        <w:pStyle w:val="BodyText"/>
      </w:pPr>
      <m:oMathPara>
        <m:oMathParaPr>
          <m:jc m:val="center"/>
        </m:oMathParaPr>
        <m:oMath>
          <m:r>
            <m:t>U</m:t>
          </m:r>
          <m:r>
            <m:rPr>
              <m:sty m:val="p"/>
            </m:rPr>
            <m:t>=</m:t>
          </m:r>
          <m:f>
            <m:fPr>
              <m:type m:val="bar"/>
            </m:fPr>
            <m:num>
              <m:r>
                <m:t>1</m:t>
              </m:r>
            </m:num>
            <m:den>
              <m:r>
                <m:t>2</m:t>
              </m:r>
            </m:den>
          </m:f>
          <m:sSub>
            <m:e>
              <m:r>
                <m:t>p</m:t>
              </m:r>
            </m:e>
            <m:sub>
              <m:r>
                <m:t>0</m:t>
              </m:r>
            </m:sub>
          </m:sSub>
          <m:sSup>
            <m:e>
              <m:r>
                <m:rPr>
                  <m:sty m:val="p"/>
                </m:rPr>
                <m:t>(</m:t>
              </m:r>
              <m:r>
                <m:t>r</m:t>
              </m:r>
              <m:r>
                <m:rPr>
                  <m:sty m:val="p"/>
                </m:rPr>
                <m:t>−</m:t>
              </m:r>
              <m:sSub>
                <m:e>
                  <m:r>
                    <m:t>p</m:t>
                  </m:r>
                </m:e>
                <m:sub>
                  <m:r>
                    <m:t>1</m:t>
                  </m:r>
                </m:sub>
              </m:sSub>
              <m:r>
                <m:rPr>
                  <m:sty m:val="p"/>
                </m:rPr>
                <m:t>)</m:t>
              </m:r>
            </m:e>
            <m:sup>
              <m:r>
                <m:t>2</m:t>
              </m:r>
            </m:sup>
          </m:sSup>
          <m:r>
            <m:t>  </m:t>
          </m:r>
          <m:r>
            <m:rPr>
              <m:sty m:val="p"/>
            </m:rPr>
            <m:t>(</m:t>
          </m:r>
          <m:r>
            <m:t>1</m:t>
          </m:r>
          <m:r>
            <m:rPr>
              <m:sty m:val="p"/>
            </m:rPr>
            <m:t>)</m:t>
          </m:r>
        </m:oMath>
      </m:oMathPara>
    </w:p>
    <w:p>
      <w:pPr>
        <w:pStyle w:val="FirstParagraph"/>
      </w:pPr>
      <w:r>
        <w:t xml:space="preserve">where</w:t>
      </w:r>
      <w:r>
        <w:t xml:space="preserve"> </w:t>
      </w:r>
      <m:oMath>
        <m:sSub>
          <m:e>
            <m:r>
              <m:t>p</m:t>
            </m:r>
          </m:e>
          <m:sub>
            <m:r>
              <m:t>0</m:t>
            </m:r>
          </m:sub>
        </m:sSub>
        <m:r>
          <m:rPr>
            <m:sty m:val="p"/>
          </m:rPr>
          <m:t>/</m:t>
        </m:r>
        <m:sSub>
          <m:e>
            <m:r>
              <m:t>κ</m:t>
            </m:r>
          </m:e>
          <m:sub>
            <m:r>
              <m:t>B</m:t>
            </m:r>
          </m:sub>
        </m:sSub>
      </m:oMath>
      <w:r>
        <w:t xml:space="preserve"> </w:t>
      </w:r>
      <w:r>
        <w:t xml:space="preserve">in units K/Å²,</w:t>
      </w:r>
      <w:r>
        <w:t xml:space="preserve"> </w:t>
      </w:r>
      <m:oMath>
        <m:sSub>
          <m:e>
            <m:r>
              <m:t>p</m:t>
            </m:r>
          </m:e>
          <m:sub>
            <m:r>
              <m:t>1</m:t>
            </m:r>
          </m:sub>
        </m:sSub>
      </m:oMath>
      <w:r>
        <w:t xml:space="preserve"> </w:t>
      </w:r>
      <w:r>
        <w:t xml:space="preserve">in Å.</w:t>
      </w:r>
    </w:p>
    <w:bookmarkStart w:id="45" w:name="tbl:ff-d4-bond"/>
    <w:p>
      <w:pPr>
        <w:pStyle w:val="TableCaption"/>
      </w:pPr>
      <w:r>
        <w:t xml:space="preserve">Table 2: D4 bonding potential parameters.</w:t>
      </w:r>
    </w:p>
    <w:tbl>
      <w:tblPr>
        <w:tblStyle w:val="Table"/>
        <w:tblW w:type="pct" w:w="0.0"/>
        <w:tblLook w:firstRow="1" w:lastRow="0" w:firstColumn="0" w:lastColumn="0" w:noHBand="0" w:noVBand="0" w:val="0020"/>
        <w:tblCaption w:val="Table 2: D4 bonding potential parameters."/>
      </w:tblPr>
      <w:tblGrid/>
      <w:tr>
        <w:tc>
          <w:p>
            <w:pPr>
              <w:pStyle w:val="Compact"/>
              <w:jc w:val="left"/>
            </w:pPr>
            <w:r>
              <w:t xml:space="preserve">Pseudo atom</w:t>
            </w:r>
          </w:p>
        </w:tc>
        <w:tc>
          <w:p>
            <w:pPr>
              <w:pStyle w:val="Compact"/>
              <w:jc w:val="left"/>
            </w:pPr>
            <w:r>
              <w:t xml:space="preserve">Type of bond</w:t>
            </w:r>
          </w:p>
        </w:tc>
        <w:tc>
          <w:p>
            <w:pPr>
              <w:pStyle w:val="Compact"/>
              <w:jc w:val="left"/>
            </w:pPr>
            <m:oMath>
              <m:sSub>
                <m:e>
                  <m:r>
                    <m:t>p</m:t>
                  </m:r>
                </m:e>
                <m:sub>
                  <m:r>
                    <m:t>0</m:t>
                  </m:r>
                </m:sub>
              </m:sSub>
              <m:r>
                <m:rPr>
                  <m:sty m:val="p"/>
                </m:rPr>
                <m:t>/</m:t>
              </m:r>
              <m:sSub>
                <m:e>
                  <m:r>
                    <m:t>κ</m:t>
                  </m:r>
                </m:e>
                <m:sub>
                  <m:r>
                    <m:t>B</m:t>
                  </m:r>
                </m:sub>
              </m:sSub>
            </m:oMath>
            <w:r>
              <w:t xml:space="preserve"> </w:t>
            </w:r>
            <w:r>
              <w:t xml:space="preserve">(K/Å²)</w:t>
            </w:r>
          </w:p>
        </w:tc>
        <w:tc>
          <w:p>
            <w:pPr>
              <w:pStyle w:val="Compact"/>
              <w:jc w:val="left"/>
            </w:pPr>
            <m:oMath>
              <m:sSub>
                <m:e>
                  <m:r>
                    <m:t>p</m:t>
                  </m:r>
                </m:e>
                <m:sub>
                  <m:r>
                    <m:t>1</m:t>
                  </m:r>
                </m:sub>
              </m:sSub>
            </m:oMath>
            <w:r>
              <w:t xml:space="preserve"> </w:t>
            </w:r>
            <w:r>
              <w:t xml:space="preserve">(Å)</w:t>
            </w:r>
          </w:p>
        </w:tc>
      </w:tr>
      <w:tr>
        <w:tc>
          <w:p>
            <w:pPr>
              <w:pStyle w:val="Compact"/>
              <w:jc w:val="left"/>
            </w:pPr>
            <w:r>
              <w:t xml:space="preserve">Si-O</w:t>
            </w:r>
          </w:p>
        </w:tc>
        <w:tc>
          <w:p>
            <w:pPr>
              <w:pStyle w:val="Compact"/>
              <w:jc w:val="left"/>
            </w:pPr>
            <w:r>
              <w:t xml:space="preserve">RIGID_BOND</w:t>
            </w:r>
          </w:p>
        </w:tc>
        <w:tc>
          <w:p>
            <w:pPr>
              <w:pStyle w:val="Compact"/>
              <w:jc w:val="left"/>
            </w:pPr>
            <w:r>
              <w:t xml:space="preserve">-</w:t>
            </w:r>
          </w:p>
        </w:tc>
        <w:tc>
          <w:p>
            <w:pPr>
              <w:pStyle w:val="Compact"/>
              <w:jc w:val="left"/>
            </w:pPr>
            <w:r>
              <w:t xml:space="preserve">-</w:t>
            </w:r>
          </w:p>
        </w:tc>
      </w:tr>
      <w:tr>
        <w:tc>
          <w:p>
            <w:pPr>
              <w:pStyle w:val="Compact"/>
              <w:jc w:val="left"/>
            </w:pPr>
            <w:r>
              <w:t xml:space="preserve">Si-C</w:t>
            </w:r>
          </w:p>
        </w:tc>
        <w:tc>
          <w:p>
            <w:pPr>
              <w:pStyle w:val="Compact"/>
              <w:jc w:val="left"/>
            </w:pPr>
            <w:r>
              <w:t xml:space="preserve">HARMONIC_BOND</w:t>
            </w:r>
          </w:p>
        </w:tc>
        <w:tc>
          <w:p>
            <w:pPr>
              <w:pStyle w:val="Compact"/>
              <w:jc w:val="left"/>
            </w:pPr>
            <w:r>
              <w:t xml:space="preserve">286248.126</w:t>
            </w:r>
          </w:p>
        </w:tc>
        <w:tc>
          <w:p>
            <w:pPr>
              <w:pStyle w:val="Compact"/>
              <w:jc w:val="left"/>
            </w:pPr>
            <w:r>
              <w:t xml:space="preserve">1.809</w:t>
            </w:r>
          </w:p>
        </w:tc>
      </w:tr>
      <w:tr>
        <w:tc>
          <w:p>
            <w:pPr>
              <w:pStyle w:val="Compact"/>
              <w:jc w:val="left"/>
            </w:pPr>
            <w:r>
              <w:t xml:space="preserve">C3-H</w:t>
            </w:r>
          </w:p>
        </w:tc>
        <w:tc>
          <w:p>
            <w:pPr>
              <w:pStyle w:val="Compact"/>
              <w:jc w:val="left"/>
            </w:pPr>
            <w:r>
              <w:t xml:space="preserve">HARMONIC_BOND</w:t>
            </w:r>
          </w:p>
        </w:tc>
        <w:tc>
          <w:p>
            <w:pPr>
              <w:pStyle w:val="Compact"/>
              <w:jc w:val="left"/>
            </w:pPr>
            <w:r>
              <w:t xml:space="preserve">409668.576</w:t>
            </w:r>
          </w:p>
        </w:tc>
        <w:tc>
          <w:p>
            <w:pPr>
              <w:pStyle w:val="Compact"/>
              <w:jc w:val="left"/>
            </w:pPr>
            <w:r>
              <w:t xml:space="preserve">1.105</w:t>
            </w:r>
          </w:p>
        </w:tc>
      </w:tr>
    </w:tbl>
    <w:bookmarkEnd w:id="45"/>
    <w:p>
      <w:pPr>
        <w:pStyle w:val="BodyText"/>
      </w:pPr>
      <w:r>
        <w:rPr>
          <w:bCs/>
          <w:b/>
        </w:rPr>
        <w:t xml:space="preserve">Harmonic Bend</w:t>
      </w:r>
    </w:p>
    <w:p>
      <w:pPr>
        <w:pStyle w:val="BodyText"/>
      </w:pPr>
      <m:oMathPara>
        <m:oMathParaPr>
          <m:jc m:val="center"/>
        </m:oMathParaPr>
        <m:oMath>
          <m:r>
            <m:t>U</m:t>
          </m:r>
          <m:r>
            <m:rPr>
              <m:sty m:val="p"/>
            </m:rPr>
            <m:t>=</m:t>
          </m:r>
          <m:f>
            <m:fPr>
              <m:type m:val="bar"/>
            </m:fPr>
            <m:num>
              <m:r>
                <m:t>1</m:t>
              </m:r>
            </m:num>
            <m:den>
              <m:r>
                <m:t>2</m:t>
              </m:r>
            </m:den>
          </m:f>
          <m:sSub>
            <m:e>
              <m:r>
                <m:t>p</m:t>
              </m:r>
            </m:e>
            <m:sub>
              <m:r>
                <m:t>0</m:t>
              </m:r>
            </m:sub>
          </m:sSub>
          <m:sSup>
            <m:e>
              <m:r>
                <m:rPr>
                  <m:sty m:val="p"/>
                </m:rPr>
                <m:t>(</m:t>
              </m:r>
              <m:sSub>
                <m:e>
                  <m:r>
                    <m:t>θ</m:t>
                  </m:r>
                </m:e>
                <m:sub>
                  <m:r>
                    <m:rPr>
                      <m:nor/>
                      <m:sty m:val="p"/>
                    </m:rPr>
                    <m:t>ijk</m:t>
                  </m:r>
                </m:sub>
              </m:sSub>
              <m:r>
                <m:rPr>
                  <m:sty m:val="p"/>
                </m:rPr>
                <m:t>−</m:t>
              </m:r>
              <m:sSub>
                <m:e>
                  <m:r>
                    <m:t>p</m:t>
                  </m:r>
                </m:e>
                <m:sub>
                  <m:r>
                    <m:t>1</m:t>
                  </m:r>
                </m:sub>
              </m:sSub>
              <m:r>
                <m:rPr>
                  <m:sty m:val="p"/>
                </m:rPr>
                <m:t>)</m:t>
              </m:r>
            </m:e>
            <m:sup>
              <m:r>
                <m:t>2</m:t>
              </m:r>
            </m:sup>
          </m:sSup>
          <m:r>
            <m:t>  </m:t>
          </m:r>
          <m:r>
            <m:rPr>
              <m:sty m:val="p"/>
            </m:rPr>
            <m:t>(</m:t>
          </m:r>
          <m:r>
            <m:t>2</m:t>
          </m:r>
          <m:r>
            <m:rPr>
              <m:sty m:val="p"/>
            </m:rPr>
            <m:t>)</m:t>
          </m:r>
        </m:oMath>
      </m:oMathPara>
    </w:p>
    <w:p>
      <w:pPr>
        <w:pStyle w:val="FirstParagraph"/>
      </w:pPr>
      <w:r>
        <w:t xml:space="preserve">where</w:t>
      </w:r>
      <w:r>
        <w:t xml:space="preserve"> </w:t>
      </w:r>
      <m:oMath>
        <m:sSub>
          <m:e>
            <m:r>
              <m:t>p</m:t>
            </m:r>
          </m:e>
          <m:sub>
            <m:r>
              <m:t>0</m:t>
            </m:r>
          </m:sub>
        </m:sSub>
        <m:r>
          <m:rPr>
            <m:sty m:val="p"/>
          </m:rPr>
          <m:t>/</m:t>
        </m:r>
        <m:sSub>
          <m:e>
            <m:r>
              <m:t>κ</m:t>
            </m:r>
          </m:e>
          <m:sub>
            <m:r>
              <m:t>B</m:t>
            </m:r>
          </m:sub>
        </m:sSub>
      </m:oMath>
      <w:r>
        <w:t xml:space="preserve"> </w:t>
      </w:r>
      <w:r>
        <w:t xml:space="preserve">in units K/rad²,</w:t>
      </w:r>
      <w:r>
        <w:t xml:space="preserve"> </w:t>
      </w:r>
      <m:oMath>
        <m:sSub>
          <m:e>
            <m:r>
              <m:t>p</m:t>
            </m:r>
          </m:e>
          <m:sub>
            <m:r>
              <m:t>1</m:t>
            </m:r>
          </m:sub>
        </m:sSub>
      </m:oMath>
      <w:r>
        <w:t xml:space="preserve"> </w:t>
      </w:r>
      <w:r>
        <w:t xml:space="preserve">in degree.</w:t>
      </w:r>
    </w:p>
    <w:bookmarkStart w:id="46" w:name="tbl:ff-d4-bend"/>
    <w:p>
      <w:pPr>
        <w:pStyle w:val="TableCaption"/>
      </w:pPr>
      <w:r>
        <w:t xml:space="preserve">Table 3: D4 bending potential parameters.</w:t>
      </w:r>
    </w:p>
    <w:tbl>
      <w:tblPr>
        <w:tblStyle w:val="Table"/>
        <w:tblW w:type="pct" w:w="0.0"/>
        <w:tblLook w:firstRow="1" w:lastRow="0" w:firstColumn="0" w:lastColumn="0" w:noHBand="0" w:noVBand="0" w:val="0020"/>
        <w:tblCaption w:val="Table 3: D4 bending potential parameters."/>
      </w:tblPr>
      <w:tblGrid/>
      <w:tr>
        <w:tc>
          <w:p>
            <w:pPr>
              <w:pStyle w:val="Compact"/>
              <w:jc w:val="left"/>
            </w:pPr>
            <w:r>
              <w:t xml:space="preserve">Pseudo atom</w:t>
            </w:r>
          </w:p>
        </w:tc>
        <w:tc>
          <w:p>
            <w:pPr>
              <w:pStyle w:val="Compact"/>
              <w:jc w:val="left"/>
            </w:pPr>
            <w:r>
              <w:t xml:space="preserve">Type of angle</w:t>
            </w:r>
          </w:p>
        </w:tc>
        <w:tc>
          <w:p>
            <w:pPr>
              <w:pStyle w:val="Compact"/>
              <w:jc w:val="left"/>
            </w:pPr>
            <m:oMath>
              <m:sSub>
                <m:e>
                  <m:r>
                    <m:t>p</m:t>
                  </m:r>
                </m:e>
                <m:sub>
                  <m:r>
                    <m:t>0</m:t>
                  </m:r>
                </m:sub>
              </m:sSub>
              <m:r>
                <m:rPr>
                  <m:sty m:val="p"/>
                </m:rPr>
                <m:t>/</m:t>
              </m:r>
              <m:sSub>
                <m:e>
                  <m:r>
                    <m:t>κ</m:t>
                  </m:r>
                </m:e>
                <m:sub>
                  <m:r>
                    <m:t>B</m:t>
                  </m:r>
                </m:sub>
              </m:sSub>
            </m:oMath>
            <w:r>
              <w:t xml:space="preserve"> </w:t>
            </w:r>
            <w:r>
              <w:t xml:space="preserve">(K/rad²)</w:t>
            </w:r>
          </w:p>
        </w:tc>
        <w:tc>
          <w:p>
            <w:pPr>
              <w:pStyle w:val="Compact"/>
              <w:jc w:val="left"/>
            </w:pPr>
            <m:oMath>
              <m:sSub>
                <m:e>
                  <m:r>
                    <m:t>p</m:t>
                  </m:r>
                </m:e>
                <m:sub>
                  <m:r>
                    <m:t>1</m:t>
                  </m:r>
                </m:sub>
              </m:sSub>
            </m:oMath>
            <w:r>
              <w:t xml:space="preserve"> </w:t>
            </w:r>
            <w:r>
              <w:t xml:space="preserve">(°)</w:t>
            </w:r>
          </w:p>
        </w:tc>
      </w:tr>
      <w:tr>
        <w:tc>
          <w:p>
            <w:pPr>
              <w:pStyle w:val="Compact"/>
              <w:jc w:val="left"/>
            </w:pPr>
            <w:r>
              <w:t xml:space="preserve">Si-C-H</w:t>
            </w:r>
          </w:p>
        </w:tc>
        <w:tc>
          <w:p>
            <w:pPr>
              <w:pStyle w:val="Compact"/>
              <w:jc w:val="left"/>
            </w:pPr>
            <w:r>
              <w:t xml:space="preserve">HARMONIC_BEND</w:t>
            </w:r>
          </w:p>
        </w:tc>
        <w:tc>
          <w:p>
            <w:pPr>
              <w:pStyle w:val="Compact"/>
              <w:jc w:val="left"/>
            </w:pPr>
            <w:r>
              <w:t xml:space="preserve">41614.223</w:t>
            </w:r>
          </w:p>
        </w:tc>
        <w:tc>
          <w:p>
            <w:pPr>
              <w:pStyle w:val="Compact"/>
              <w:jc w:val="left"/>
            </w:pPr>
            <w:r>
              <w:t xml:space="preserve">112.3</w:t>
            </w:r>
          </w:p>
        </w:tc>
      </w:tr>
      <w:tr>
        <w:tc>
          <w:p>
            <w:pPr>
              <w:pStyle w:val="Compact"/>
              <w:jc w:val="left"/>
            </w:pPr>
            <w:r>
              <w:t xml:space="preserve">C-Si-C</w:t>
            </w:r>
          </w:p>
        </w:tc>
        <w:tc>
          <w:p>
            <w:pPr>
              <w:pStyle w:val="Compact"/>
              <w:jc w:val="left"/>
            </w:pPr>
            <w:r>
              <w:t xml:space="preserve">HARMONIC_BEND</w:t>
            </w:r>
          </w:p>
        </w:tc>
        <w:tc>
          <w:p>
            <w:pPr>
              <w:pStyle w:val="Compact"/>
              <w:jc w:val="left"/>
            </w:pPr>
            <w:r>
              <w:t xml:space="preserve">53400.911</w:t>
            </w:r>
          </w:p>
        </w:tc>
        <w:tc>
          <w:p>
            <w:pPr>
              <w:pStyle w:val="Compact"/>
              <w:jc w:val="left"/>
            </w:pPr>
            <w:r>
              <w:t xml:space="preserve">113.5</w:t>
            </w:r>
          </w:p>
        </w:tc>
      </w:tr>
      <w:tr>
        <w:tc>
          <w:p>
            <w:pPr>
              <w:pStyle w:val="Compact"/>
              <w:jc w:val="left"/>
            </w:pPr>
            <w:r>
              <w:t xml:space="preserve">C-Si-O</w:t>
            </w:r>
          </w:p>
        </w:tc>
        <w:tc>
          <w:p>
            <w:pPr>
              <w:pStyle w:val="Compact"/>
              <w:jc w:val="left"/>
            </w:pPr>
            <w:r>
              <w:t xml:space="preserve">HARMONIC_BEND</w:t>
            </w:r>
          </w:p>
        </w:tc>
        <w:tc>
          <w:p>
            <w:pPr>
              <w:pStyle w:val="Compact"/>
              <w:jc w:val="left"/>
            </w:pPr>
            <w:r>
              <w:t xml:space="preserve">53040.094</w:t>
            </w:r>
          </w:p>
        </w:tc>
        <w:tc>
          <w:p>
            <w:pPr>
              <w:pStyle w:val="Compact"/>
              <w:jc w:val="left"/>
            </w:pPr>
            <w:r>
              <w:t xml:space="preserve">117.3</w:t>
            </w:r>
          </w:p>
        </w:tc>
      </w:tr>
      <w:tr>
        <w:tc>
          <w:p>
            <w:pPr>
              <w:pStyle w:val="Compact"/>
              <w:jc w:val="left"/>
            </w:pPr>
            <w:r>
              <w:t xml:space="preserve">H-C-H</w:t>
            </w:r>
          </w:p>
        </w:tc>
        <w:tc>
          <w:p>
            <w:pPr>
              <w:pStyle w:val="Compact"/>
              <w:jc w:val="left"/>
            </w:pPr>
            <w:r>
              <w:t xml:space="preserve">HARMONIC_BEND</w:t>
            </w:r>
          </w:p>
        </w:tc>
        <w:tc>
          <w:p>
            <w:pPr>
              <w:pStyle w:val="Compact"/>
              <w:jc w:val="left"/>
            </w:pPr>
            <w:r>
              <w:t xml:space="preserve">47507.567</w:t>
            </w:r>
          </w:p>
        </w:tc>
        <w:tc>
          <w:p>
            <w:pPr>
              <w:pStyle w:val="Compact"/>
              <w:jc w:val="left"/>
            </w:pPr>
            <w:r>
              <w:t xml:space="preserve">106.4</w:t>
            </w:r>
          </w:p>
        </w:tc>
      </w:tr>
    </w:tbl>
    <w:bookmarkEnd w:id="46"/>
    <w:p>
      <w:pPr>
        <w:pStyle w:val="BodyText"/>
      </w:pPr>
      <w:r>
        <w:rPr>
          <w:bCs/>
          <w:b/>
        </w:rPr>
        <w:t xml:space="preserve">CVFF Dihedral</w:t>
      </w:r>
    </w:p>
    <w:p>
      <w:pPr>
        <w:pStyle w:val="BodyText"/>
      </w:pPr>
      <m:oMathPara>
        <m:oMathParaPr>
          <m:jc m:val="center"/>
        </m:oMathParaPr>
        <m:oMath>
          <m:r>
            <m:t>U</m:t>
          </m:r>
          <m:r>
            <m:rPr>
              <m:sty m:val="p"/>
            </m:rPr>
            <m:t>=</m:t>
          </m:r>
          <m:sSub>
            <m:e>
              <m:r>
                <m:t>p</m:t>
              </m:r>
            </m:e>
            <m:sub>
              <m:r>
                <m:t>0</m:t>
              </m:r>
            </m:sub>
          </m:sSub>
          <m:sSup>
            <m:e>
              <m:r>
                <m:rPr>
                  <m:sty m:val="p"/>
                </m:rPr>
                <m:t>(</m:t>
              </m:r>
              <m:r>
                <m:t>1</m:t>
              </m:r>
              <m:r>
                <m:rPr>
                  <m:sty m:val="p"/>
                </m:rPr>
                <m:t>+</m:t>
              </m:r>
              <m:r>
                <m:t>c</m:t>
              </m:r>
              <m:r>
                <m:t>o</m:t>
              </m:r>
              <m:r>
                <m:t>s</m:t>
              </m:r>
              <m:r>
                <m:rPr>
                  <m:sty m:val="p"/>
                </m:rPr>
                <m:t>(</m:t>
              </m:r>
              <m:sSub>
                <m:e>
                  <m:r>
                    <m:t>p</m:t>
                  </m:r>
                </m:e>
                <m:sub>
                  <m:r>
                    <m:t>1</m:t>
                  </m:r>
                </m:sub>
              </m:sSub>
              <m:sSub>
                <m:e>
                  <m:r>
                    <m:t>ϕ</m:t>
                  </m:r>
                </m:e>
                <m:sub>
                  <m:r>
                    <m:rPr>
                      <m:nor/>
                      <m:sty m:val="p"/>
                    </m:rPr>
                    <m:t>ijk</m:t>
                  </m:r>
                </m:sub>
              </m:sSub>
              <m:r>
                <m:rPr>
                  <m:sty m:val="p"/>
                </m:rPr>
                <m:t>−</m:t>
              </m:r>
              <m:sSub>
                <m:e>
                  <m:r>
                    <m:t>p</m:t>
                  </m:r>
                </m:e>
                <m:sub>
                  <m:r>
                    <m:t>2</m:t>
                  </m:r>
                </m:sub>
              </m:sSub>
              <m:r>
                <m:rPr>
                  <m:sty m:val="p"/>
                </m:rPr>
                <m:t>)</m:t>
              </m:r>
              <m:r>
                <m:rPr>
                  <m:sty m:val="p"/>
                </m:rPr>
                <m:t>)</m:t>
              </m:r>
            </m:e>
            <m:sup>
              <m:r>
                <m:t>2</m:t>
              </m:r>
            </m:sup>
          </m:sSup>
          <m:r>
            <m:t>  </m:t>
          </m:r>
          <m:r>
            <m:rPr>
              <m:sty m:val="p"/>
            </m:rPr>
            <m:t>(</m:t>
          </m:r>
          <m:r>
            <m:t>3</m:t>
          </m:r>
          <m:r>
            <m:rPr>
              <m:sty m:val="p"/>
            </m:rPr>
            <m:t>)</m:t>
          </m:r>
        </m:oMath>
      </m:oMathPara>
    </w:p>
    <w:p>
      <w:pPr>
        <w:pStyle w:val="FirstParagraph"/>
      </w:pPr>
      <w:r>
        <w:t xml:space="preserve">where</w:t>
      </w:r>
      <w:r>
        <w:t xml:space="preserve"> </w:t>
      </w:r>
      <m:oMath>
        <m:sSub>
          <m:e>
            <m:r>
              <m:t>p</m:t>
            </m:r>
          </m:e>
          <m:sub>
            <m:r>
              <m:t>0</m:t>
            </m:r>
          </m:sub>
        </m:sSub>
        <m:r>
          <m:rPr>
            <m:sty m:val="p"/>
          </m:rPr>
          <m:t>/</m:t>
        </m:r>
        <m:sSub>
          <m:e>
            <m:r>
              <m:t>κ</m:t>
            </m:r>
          </m:e>
          <m:sub>
            <m:r>
              <m:t>B</m:t>
            </m:r>
          </m:sub>
        </m:sSub>
      </m:oMath>
      <w:r>
        <w:t xml:space="preserve"> </w:t>
      </w:r>
      <w:r>
        <w:t xml:space="preserve">in units K,</w:t>
      </w:r>
      <w:r>
        <w:t xml:space="preserve"> </w:t>
      </w:r>
      <m:oMath>
        <m:sSub>
          <m:e>
            <m:r>
              <m:t>p</m:t>
            </m:r>
          </m:e>
          <m:sub>
            <m:r>
              <m:t>2</m:t>
            </m:r>
          </m:sub>
        </m:sSub>
      </m:oMath>
      <w:r>
        <w:t xml:space="preserve"> </w:t>
      </w:r>
      <w:r>
        <w:t xml:space="preserve">in degree.</w:t>
      </w:r>
    </w:p>
    <w:bookmarkStart w:id="47" w:name="tbl:ff-d4-dihedral"/>
    <w:p>
      <w:pPr>
        <w:pStyle w:val="TableCaption"/>
      </w:pPr>
      <w:r>
        <w:t xml:space="preserve">Table 4: D4 dihedral potential parameters.</w:t>
      </w:r>
    </w:p>
    <w:tbl>
      <w:tblPr>
        <w:tblStyle w:val="Table"/>
        <w:tblW w:type="pct" w:w="0.0"/>
        <w:tblLook w:firstRow="1" w:lastRow="0" w:firstColumn="0" w:lastColumn="0" w:noHBand="0" w:noVBand="0" w:val="0020"/>
        <w:tblCaption w:val="Table 4: D4 dihedral potential parameters."/>
      </w:tblPr>
      <w:tblGrid/>
      <w:tr>
        <w:tc>
          <w:p>
            <w:pPr>
              <w:pStyle w:val="Compact"/>
              <w:jc w:val="left"/>
            </w:pPr>
            <w:r>
              <w:t xml:space="preserve">Pseudo atom</w:t>
            </w:r>
          </w:p>
        </w:tc>
        <w:tc>
          <w:p>
            <w:pPr>
              <w:pStyle w:val="Compact"/>
              <w:jc w:val="left"/>
            </w:pPr>
            <w:r>
              <w:t xml:space="preserve">Type of torsion</w:t>
            </w:r>
          </w:p>
        </w:tc>
        <w:tc>
          <w:p>
            <w:pPr>
              <w:pStyle w:val="Compact"/>
              <w:jc w:val="left"/>
            </w:pPr>
            <m:oMath>
              <m:sSub>
                <m:e>
                  <m:r>
                    <m:t>p</m:t>
                  </m:r>
                </m:e>
                <m:sub>
                  <m:r>
                    <m:t>0</m:t>
                  </m:r>
                </m:sub>
              </m:sSub>
              <m:r>
                <m:rPr>
                  <m:sty m:val="p"/>
                </m:rPr>
                <m:t>/</m:t>
              </m:r>
              <m:sSub>
                <m:e>
                  <m:r>
                    <m:t>κ</m:t>
                  </m:r>
                </m:e>
                <m:sub>
                  <m:r>
                    <m:t>B</m:t>
                  </m:r>
                </m:sub>
              </m:sSub>
            </m:oMath>
            <w:r>
              <w:t xml:space="preserve"> </w:t>
            </w:r>
            <w:r>
              <w:t xml:space="preserve">(K)</w:t>
            </w:r>
          </w:p>
        </w:tc>
        <w:tc>
          <w:p>
            <w:pPr>
              <w:pStyle w:val="Compact"/>
              <w:jc w:val="left"/>
            </w:pPr>
            <m:oMath>
              <m:sSub>
                <m:e>
                  <m:r>
                    <m:t>p</m:t>
                  </m:r>
                </m:e>
                <m:sub>
                  <m:r>
                    <m:t>1</m:t>
                  </m:r>
                </m:sub>
              </m:sSub>
            </m:oMath>
            <w:r>
              <w:t xml:space="preserve"> </w:t>
            </w:r>
            <w:r>
              <w:t xml:space="preserve">(multiplicity)</w:t>
            </w:r>
          </w:p>
        </w:tc>
        <w:tc>
          <w:p>
            <w:pPr>
              <w:pStyle w:val="Compact"/>
              <w:jc w:val="left"/>
            </w:pPr>
            <m:oMath>
              <m:sSub>
                <m:e>
                  <m:r>
                    <m:t>p</m:t>
                  </m:r>
                </m:e>
                <m:sub>
                  <m:r>
                    <m:t>2</m:t>
                  </m:r>
                </m:sub>
              </m:sSub>
            </m:oMath>
            <w:r>
              <w:t xml:space="preserve"> </w:t>
            </w:r>
            <w:r>
              <w:t xml:space="preserve">(°)</w:t>
            </w:r>
          </w:p>
        </w:tc>
      </w:tr>
      <w:tr>
        <w:tc>
          <w:p>
            <w:pPr>
              <w:pStyle w:val="Compact"/>
              <w:jc w:val="left"/>
            </w:pPr>
            <w:r>
              <w:t xml:space="preserve">H-C-Si-C</w:t>
            </w:r>
          </w:p>
        </w:tc>
        <w:tc>
          <w:p>
            <w:pPr>
              <w:pStyle w:val="Compact"/>
              <w:jc w:val="left"/>
            </w:pPr>
            <w:r>
              <w:t xml:space="preserve">CVFF_DIHEDRAL</w:t>
            </w:r>
          </w:p>
        </w:tc>
        <w:tc>
          <w:p>
            <w:pPr>
              <w:pStyle w:val="Compact"/>
              <w:jc w:val="left"/>
            </w:pPr>
            <w:r>
              <w:t xml:space="preserve">240.545</w:t>
            </w:r>
          </w:p>
        </w:tc>
        <w:tc>
          <w:p>
            <w:pPr>
              <w:pStyle w:val="Compact"/>
              <w:jc w:val="left"/>
            </w:pPr>
            <w:r>
              <w:t xml:space="preserve">3</w:t>
            </w:r>
          </w:p>
        </w:tc>
        <w:tc>
          <w:p>
            <w:pPr>
              <w:pStyle w:val="Compact"/>
              <w:jc w:val="left"/>
            </w:pPr>
            <w:r>
              <w:t xml:space="preserve">0</w:t>
            </w:r>
          </w:p>
        </w:tc>
      </w:tr>
      <w:tr>
        <w:tc>
          <w:p>
            <w:pPr>
              <w:pStyle w:val="Compact"/>
              <w:jc w:val="left"/>
            </w:pPr>
            <w:r>
              <w:t xml:space="preserve">H-C-Si-O</w:t>
            </w:r>
          </w:p>
        </w:tc>
        <w:tc>
          <w:p>
            <w:pPr>
              <w:pStyle w:val="Compact"/>
              <w:jc w:val="left"/>
            </w:pPr>
            <w:r>
              <w:t xml:space="preserve">CVFF_DIHEDRAL</w:t>
            </w:r>
          </w:p>
        </w:tc>
        <w:tc>
          <w:p>
            <w:pPr>
              <w:pStyle w:val="Compact"/>
              <w:jc w:val="left"/>
            </w:pPr>
            <w:r>
              <w:t xml:space="preserve">-60.136</w:t>
            </w:r>
          </w:p>
        </w:tc>
        <w:tc>
          <w:p>
            <w:pPr>
              <w:pStyle w:val="Compact"/>
              <w:jc w:val="left"/>
            </w:pPr>
            <w:r>
              <w:t xml:space="preserve">3</w:t>
            </w:r>
          </w:p>
        </w:tc>
        <w:tc>
          <w:p>
            <w:pPr>
              <w:pStyle w:val="Compact"/>
              <w:jc w:val="left"/>
            </w:pPr>
            <w:r>
              <w:t xml:space="preserve">0</w:t>
            </w:r>
          </w:p>
        </w:tc>
      </w:tr>
      <w:tr>
        <w:tc>
          <w:p>
            <w:pPr>
              <w:pStyle w:val="Compact"/>
              <w:jc w:val="left"/>
            </w:pPr>
            <w:r>
              <w:t xml:space="preserve">C-Si-O-Si</w:t>
            </w:r>
          </w:p>
        </w:tc>
        <w:tc>
          <w:p>
            <w:pPr>
              <w:pStyle w:val="Compact"/>
              <w:jc w:val="left"/>
            </w:pPr>
            <w:r>
              <w:t xml:space="preserve">CVFF_DIHEDRAL</w:t>
            </w:r>
          </w:p>
        </w:tc>
        <w:tc>
          <w:p>
            <w:pPr>
              <w:pStyle w:val="Compact"/>
              <w:jc w:val="left"/>
            </w:pPr>
            <w:r>
              <w:t xml:space="preserve">240.545</w:t>
            </w:r>
          </w:p>
        </w:tc>
        <w:tc>
          <w:p>
            <w:pPr>
              <w:pStyle w:val="Compact"/>
              <w:jc w:val="left"/>
            </w:pPr>
            <w:r>
              <w:t xml:space="preserve">3</w:t>
            </w:r>
          </w:p>
        </w:tc>
        <w:tc>
          <w:p>
            <w:pPr>
              <w:pStyle w:val="Compact"/>
              <w:jc w:val="left"/>
            </w:pPr>
            <w:r>
              <w:t xml:space="preserve">0</w:t>
            </w:r>
          </w:p>
        </w:tc>
      </w:tr>
    </w:tbl>
    <w:bookmarkEnd w:id="47"/>
    <w:p>
      <w:pPr>
        <w:pStyle w:val="BodyText"/>
      </w:pPr>
      <w:r>
        <w:rPr>
          <w:bCs/>
          <w:b/>
        </w:rPr>
        <w:t xml:space="preserve">CFF Bond Bond Cross</w:t>
      </w:r>
    </w:p>
    <w:p>
      <w:pPr>
        <w:pStyle w:val="BodyText"/>
      </w:pPr>
      <m:oMathPara>
        <m:oMathParaPr>
          <m:jc m:val="center"/>
        </m:oMathParaPr>
        <m:oMath>
          <m:r>
            <m:t>U</m:t>
          </m:r>
          <m:r>
            <m:rPr>
              <m:sty m:val="p"/>
            </m:rPr>
            <m:t>=</m:t>
          </m:r>
          <m:sSub>
            <m:e>
              <m:r>
                <m:t>p</m:t>
              </m:r>
            </m:e>
            <m:sub>
              <m:r>
                <m:t>0</m:t>
              </m:r>
            </m:sub>
          </m:sSub>
          <m:r>
            <m:rPr>
              <m:sty m:val="p"/>
            </m:rPr>
            <m:t>(</m:t>
          </m:r>
          <m:r>
            <m:t>r</m:t>
          </m:r>
          <m:r>
            <m:rPr>
              <m:sty m:val="p"/>
            </m:rPr>
            <m:t>−</m:t>
          </m:r>
          <m:sSub>
            <m:e>
              <m:r>
                <m:t>p</m:t>
              </m:r>
            </m:e>
            <m:sub>
              <m:r>
                <m:t>1</m:t>
              </m:r>
            </m:sub>
          </m:sSub>
          <m:r>
            <m:rPr>
              <m:sty m:val="p"/>
            </m:rPr>
            <m:t>)</m:t>
          </m:r>
          <m:r>
            <m:rPr>
              <m:sty m:val="p"/>
            </m:rPr>
            <m:t>(</m:t>
          </m:r>
          <m:r>
            <m:t>r</m:t>
          </m:r>
          <m:r>
            <m:rPr>
              <m:sty m:val="p"/>
            </m:rPr>
            <m:t>′</m:t>
          </m:r>
          <m:r>
            <m:rPr>
              <m:sty m:val="p"/>
            </m:rPr>
            <m:t>−</m:t>
          </m:r>
          <m:sSub>
            <m:e>
              <m:r>
                <m:t>p</m:t>
              </m:r>
            </m:e>
            <m:sub>
              <m:r>
                <m:t>2</m:t>
              </m:r>
            </m:sub>
          </m:sSub>
          <m:r>
            <m:rPr>
              <m:sty m:val="p"/>
            </m:rPr>
            <m:t>)</m:t>
          </m:r>
          <m:r>
            <m:t>  </m:t>
          </m:r>
          <m:r>
            <m:rPr>
              <m:sty m:val="p"/>
            </m:rPr>
            <m:t>(</m:t>
          </m:r>
          <m:r>
            <m:t>4</m:t>
          </m:r>
          <m:r>
            <m:rPr>
              <m:sty m:val="p"/>
            </m:rPr>
            <m:t>)</m:t>
          </m:r>
        </m:oMath>
      </m:oMathPara>
    </w:p>
    <w:p>
      <w:pPr>
        <w:pStyle w:val="FirstParagraph"/>
      </w:pPr>
      <w:r>
        <w:t xml:space="preserve">where</w:t>
      </w:r>
      <w:r>
        <w:t xml:space="preserve"> </w:t>
      </w:r>
      <m:oMath>
        <m:sSub>
          <m:e>
            <m:r>
              <m:t>p</m:t>
            </m:r>
          </m:e>
          <m:sub>
            <m:r>
              <m:t>0</m:t>
            </m:r>
          </m:sub>
        </m:sSub>
        <m:r>
          <m:rPr>
            <m:sty m:val="p"/>
          </m:rPr>
          <m:t>/</m:t>
        </m:r>
        <m:sSub>
          <m:e>
            <m:r>
              <m:t>κ</m:t>
            </m:r>
          </m:e>
          <m:sub>
            <m:r>
              <m:t>B</m:t>
            </m:r>
          </m:sub>
        </m:sSub>
      </m:oMath>
      <w:r>
        <w:t xml:space="preserve"> </w:t>
      </w:r>
      <w:r>
        <w:t xml:space="preserve">in units K/Å²,</w:t>
      </w:r>
      <w:r>
        <w:t xml:space="preserve"> </w:t>
      </w:r>
      <m:oMath>
        <m:sSub>
          <m:e>
            <m:r>
              <m:t>p</m:t>
            </m:r>
          </m:e>
          <m:sub>
            <m:r>
              <m:t>1</m:t>
            </m:r>
          </m:sub>
        </m:sSub>
      </m:oMath>
      <w:r>
        <w:t xml:space="preserve"> </w:t>
      </w:r>
      <w:r>
        <w:t xml:space="preserve">and</w:t>
      </w:r>
      <w:r>
        <w:t xml:space="preserve"> </w:t>
      </w:r>
      <m:oMath>
        <m:sSub>
          <m:e>
            <m:r>
              <m:t>p</m:t>
            </m:r>
          </m:e>
          <m:sub>
            <m:r>
              <m:t>2</m:t>
            </m:r>
          </m:sub>
        </m:sSub>
      </m:oMath>
      <w:r>
        <w:t xml:space="preserve"> </w:t>
      </w:r>
      <w:r>
        <w:t xml:space="preserve">in Å</w:t>
      </w:r>
    </w:p>
    <w:bookmarkStart w:id="48" w:name="tbl:ff-d4-cross-bond"/>
    <w:p>
      <w:pPr>
        <w:pStyle w:val="TableCaption"/>
      </w:pPr>
      <w:r>
        <w:t xml:space="preserve">Table 5: D4 cross-term bonding potential parameters.</w:t>
      </w:r>
    </w:p>
    <w:tbl>
      <w:tblPr>
        <w:tblStyle w:val="Table"/>
        <w:tblW w:type="pct" w:w="0.0"/>
        <w:tblLook w:firstRow="1" w:lastRow="0" w:firstColumn="0" w:lastColumn="0" w:noHBand="0" w:noVBand="0" w:val="0020"/>
        <w:tblCaption w:val="Table 5: D4 cross-term bonding potential parameters."/>
      </w:tblPr>
      <w:tblGrid/>
      <w:tr>
        <w:tc>
          <w:p>
            <w:pPr>
              <w:pStyle w:val="Compact"/>
              <w:jc w:val="left"/>
            </w:pPr>
            <w:r>
              <w:t xml:space="preserve">Pseudo atom</w:t>
            </w:r>
          </w:p>
        </w:tc>
        <w:tc>
          <w:p>
            <w:pPr>
              <w:pStyle w:val="Compact"/>
              <w:jc w:val="left"/>
            </w:pPr>
            <w:r>
              <w:t xml:space="preserve">Type of bond-bond</w:t>
            </w:r>
          </w:p>
        </w:tc>
        <w:tc>
          <w:p>
            <w:pPr>
              <w:pStyle w:val="Compact"/>
              <w:jc w:val="left"/>
            </w:pPr>
            <m:oMath>
              <m:sSub>
                <m:e>
                  <m:r>
                    <m:t>p</m:t>
                  </m:r>
                </m:e>
                <m:sub>
                  <m:r>
                    <m:t>0</m:t>
                  </m:r>
                </m:sub>
              </m:sSub>
              <m:r>
                <m:rPr>
                  <m:sty m:val="p"/>
                </m:rPr>
                <m:t>/</m:t>
              </m:r>
              <m:sSub>
                <m:e>
                  <m:r>
                    <m:t>κ</m:t>
                  </m:r>
                </m:e>
                <m:sub>
                  <m:r>
                    <m:t>B</m:t>
                  </m:r>
                </m:sub>
              </m:sSub>
            </m:oMath>
            <w:r>
              <w:t xml:space="preserve"> </w:t>
            </w:r>
            <w:r>
              <w:t xml:space="preserve">(K/Å²)</w:t>
            </w:r>
          </w:p>
        </w:tc>
        <w:tc>
          <w:p>
            <w:pPr>
              <w:pStyle w:val="Compact"/>
              <w:jc w:val="left"/>
            </w:pPr>
            <m:oMath>
              <m:sSub>
                <m:e>
                  <m:r>
                    <m:t>p</m:t>
                  </m:r>
                </m:e>
                <m:sub>
                  <m:r>
                    <m:t>1</m:t>
                  </m:r>
                </m:sub>
              </m:sSub>
            </m:oMath>
            <w:r>
              <w:t xml:space="preserve"> </w:t>
            </w:r>
            <w:r>
              <w:t xml:space="preserve">(Å)</w:t>
            </w:r>
          </w:p>
        </w:tc>
        <w:tc>
          <w:p>
            <w:pPr>
              <w:pStyle w:val="Compact"/>
              <w:jc w:val="left"/>
            </w:pPr>
            <m:oMath>
              <m:sSub>
                <m:e>
                  <m:r>
                    <m:t>p</m:t>
                  </m:r>
                </m:e>
                <m:sub>
                  <m:r>
                    <m:t>2</m:t>
                  </m:r>
                </m:sub>
              </m:sSub>
            </m:oMath>
            <w:r>
              <w:t xml:space="preserve"> </w:t>
            </w:r>
            <w:r>
              <w:t xml:space="preserve">(Å)</w:t>
            </w:r>
          </w:p>
        </w:tc>
      </w:tr>
      <w:tr>
        <w:tc>
          <w:p>
            <w:pPr>
              <w:pStyle w:val="Compact"/>
              <w:jc w:val="left"/>
            </w:pPr>
            <w:r>
              <w:t xml:space="preserve">Si-C-H</w:t>
            </w:r>
          </w:p>
        </w:tc>
        <w:tc>
          <w:p>
            <w:pPr>
              <w:pStyle w:val="Compact"/>
              <w:jc w:val="left"/>
            </w:pPr>
            <w:r>
              <w:t xml:space="preserve">CFF_BOND_BOND_CROSS</w:t>
            </w:r>
          </w:p>
        </w:tc>
        <w:tc>
          <w:p>
            <w:pPr>
              <w:pStyle w:val="Compact"/>
              <w:jc w:val="left"/>
            </w:pPr>
            <w:r>
              <w:t xml:space="preserve">14312.406</w:t>
            </w:r>
          </w:p>
        </w:tc>
        <w:tc>
          <w:p>
            <w:pPr>
              <w:pStyle w:val="Compact"/>
              <w:jc w:val="left"/>
            </w:pPr>
            <w:r>
              <w:t xml:space="preserve">0</w:t>
            </w:r>
          </w:p>
        </w:tc>
        <w:tc>
          <w:p>
            <w:pPr>
              <w:pStyle w:val="Compact"/>
              <w:jc w:val="left"/>
            </w:pPr>
            <w:r>
              <w:t xml:space="preserve">0</w:t>
            </w:r>
          </w:p>
        </w:tc>
      </w:tr>
      <w:tr>
        <w:tc>
          <w:p>
            <w:pPr>
              <w:pStyle w:val="Compact"/>
              <w:jc w:val="left"/>
            </w:pPr>
            <w:r>
              <w:t xml:space="preserve">C-Si-C</w:t>
            </w:r>
          </w:p>
        </w:tc>
        <w:tc>
          <w:p>
            <w:pPr>
              <w:pStyle w:val="Compact"/>
              <w:jc w:val="left"/>
            </w:pPr>
            <w:r>
              <w:t xml:space="preserve">CFF_BOND_BOND_CROSS</w:t>
            </w:r>
          </w:p>
        </w:tc>
        <w:tc>
          <w:p>
            <w:pPr>
              <w:pStyle w:val="Compact"/>
              <w:jc w:val="left"/>
            </w:pPr>
            <w:r>
              <w:t xml:space="preserve">7336.612</w:t>
            </w:r>
          </w:p>
        </w:tc>
        <w:tc>
          <w:p>
            <w:pPr>
              <w:pStyle w:val="Compact"/>
              <w:jc w:val="left"/>
            </w:pPr>
            <w:r>
              <w:t xml:space="preserve">0</w:t>
            </w:r>
          </w:p>
        </w:tc>
        <w:tc>
          <w:p>
            <w:pPr>
              <w:pStyle w:val="Compact"/>
              <w:jc w:val="left"/>
            </w:pPr>
            <w:r>
              <w:t xml:space="preserve">0</w:t>
            </w:r>
          </w:p>
        </w:tc>
      </w:tr>
      <w:tr>
        <w:tc>
          <w:p>
            <w:pPr>
              <w:pStyle w:val="Compact"/>
              <w:jc w:val="left"/>
            </w:pPr>
            <w:r>
              <w:t xml:space="preserve">C-Si-O</w:t>
            </w:r>
          </w:p>
        </w:tc>
        <w:tc>
          <w:p>
            <w:pPr>
              <w:pStyle w:val="Compact"/>
              <w:jc w:val="left"/>
            </w:pPr>
            <w:r>
              <w:t xml:space="preserve">CFF_BOND_BOND_CROSS</w:t>
            </w:r>
          </w:p>
        </w:tc>
        <w:tc>
          <w:p>
            <w:pPr>
              <w:pStyle w:val="Compact"/>
              <w:jc w:val="left"/>
            </w:pPr>
            <w:r>
              <w:t xml:space="preserve">25257.188</w:t>
            </w:r>
          </w:p>
        </w:tc>
        <w:tc>
          <w:p>
            <w:pPr>
              <w:pStyle w:val="Compact"/>
              <w:jc w:val="left"/>
            </w:pPr>
            <w:r>
              <w:t xml:space="preserve">0</w:t>
            </w:r>
          </w:p>
        </w:tc>
        <w:tc>
          <w:p>
            <w:pPr>
              <w:pStyle w:val="Compact"/>
              <w:jc w:val="left"/>
            </w:pPr>
            <w:r>
              <w:t xml:space="preserve">0</w:t>
            </w:r>
          </w:p>
        </w:tc>
      </w:tr>
    </w:tbl>
    <w:bookmarkEnd w:id="48"/>
    <w:p>
      <w:pPr>
        <w:pStyle w:val="BodyText"/>
      </w:pPr>
      <w:r>
        <w:rPr>
          <w:bCs/>
          <w:b/>
        </w:rPr>
        <w:t xml:space="preserve">CFF Bond Bend Cross</w:t>
      </w:r>
    </w:p>
    <w:p>
      <w:pPr>
        <w:pStyle w:val="BodyText"/>
      </w:pPr>
      <m:oMathPara>
        <m:oMathParaPr>
          <m:jc m:val="center"/>
        </m:oMathParaPr>
        <m:oMath>
          <m:r>
            <m:t>U</m:t>
          </m:r>
          <m:r>
            <m:rPr>
              <m:sty m:val="p"/>
            </m:rPr>
            <m:t>=</m:t>
          </m:r>
          <m:sSub>
            <m:e>
              <m:r>
                <m:rPr>
                  <m:sty m:val="p"/>
                </m:rPr>
                <m:t>(</m:t>
              </m:r>
              <m:r>
                <m:t>θ</m:t>
              </m:r>
              <m:r>
                <m:rPr>
                  <m:sty m:val="p"/>
                </m:rPr>
                <m:t>−</m:t>
              </m:r>
              <m:r>
                <m:t>p</m:t>
              </m:r>
            </m:e>
            <m:sub>
              <m:r>
                <m:t>0</m:t>
              </m:r>
            </m:sub>
          </m:sSub>
          <m:r>
            <m:rPr>
              <m:sty m:val="p"/>
            </m:rPr>
            <m:t>)</m:t>
          </m:r>
          <m:r>
            <m:rPr>
              <m:sty m:val="p"/>
            </m:rPr>
            <m:t>[</m:t>
          </m:r>
          <m:sSub>
            <m:e>
              <m:r>
                <m:t>p</m:t>
              </m:r>
            </m:e>
            <m:sub>
              <m:r>
                <m:t>1</m:t>
              </m:r>
            </m:sub>
          </m:sSub>
          <m:r>
            <m:rPr>
              <m:sty m:val="p"/>
            </m:rPr>
            <m:t>(</m:t>
          </m:r>
          <m:r>
            <m:t>r</m:t>
          </m:r>
          <m:r>
            <m:rPr>
              <m:sty m:val="p"/>
            </m:rPr>
            <m:t>−</m:t>
          </m:r>
          <m:sSub>
            <m:e>
              <m:r>
                <m:t>p</m:t>
              </m:r>
            </m:e>
            <m:sub>
              <m:r>
                <m:t>2</m:t>
              </m:r>
            </m:sub>
          </m:sSub>
          <m:r>
            <m:rPr>
              <m:sty m:val="p"/>
            </m:rPr>
            <m:t>)</m:t>
          </m:r>
          <m:r>
            <m:rPr>
              <m:sty m:val="p"/>
            </m:rPr>
            <m:t>+</m:t>
          </m:r>
          <m:sSub>
            <m:e>
              <m:r>
                <m:t>p</m:t>
              </m:r>
            </m:e>
            <m:sub>
              <m:r>
                <m:t>3</m:t>
              </m:r>
            </m:sub>
          </m:sSub>
          <m:r>
            <m:rPr>
              <m:sty m:val="p"/>
            </m:rPr>
            <m:t>(</m:t>
          </m:r>
          <m:r>
            <m:t>r</m:t>
          </m:r>
          <m:r>
            <m:rPr>
              <m:sty m:val="p"/>
            </m:rPr>
            <m:t>′</m:t>
          </m:r>
          <m:r>
            <m:rPr>
              <m:sty m:val="p"/>
            </m:rPr>
            <m:t>−</m:t>
          </m:r>
          <m:sSub>
            <m:e>
              <m:r>
                <m:t>p</m:t>
              </m:r>
            </m:e>
            <m:sub>
              <m:r>
                <m:t>4</m:t>
              </m:r>
            </m:sub>
          </m:sSub>
          <m:r>
            <m:rPr>
              <m:sty m:val="p"/>
            </m:rPr>
            <m:t>)</m:t>
          </m:r>
          <m:r>
            <m:rPr>
              <m:sty m:val="p"/>
            </m:rPr>
            <m:t>]</m:t>
          </m:r>
          <m:r>
            <m:t>  </m:t>
          </m:r>
          <m:r>
            <m:rPr>
              <m:sty m:val="p"/>
            </m:rPr>
            <m:t>(</m:t>
          </m:r>
          <m:r>
            <m:t>5</m:t>
          </m:r>
          <m:r>
            <m:rPr>
              <m:sty m:val="p"/>
            </m:rPr>
            <m:t>)</m:t>
          </m:r>
        </m:oMath>
      </m:oMathPara>
    </w:p>
    <w:p>
      <w:pPr>
        <w:pStyle w:val="FirstParagraph"/>
      </w:pPr>
      <w:r>
        <w:t xml:space="preserve">where</w:t>
      </w:r>
      <w:r>
        <w:t xml:space="preserve"> </w:t>
      </w:r>
      <m:oMath>
        <m:sSub>
          <m:e>
            <m:r>
              <m:t>p</m:t>
            </m:r>
          </m:e>
          <m:sub>
            <m:r>
              <m:t>0</m:t>
            </m:r>
          </m:sub>
        </m:sSub>
      </m:oMath>
      <w:r>
        <w:t xml:space="preserve"> </w:t>
      </w:r>
      <w:r>
        <w:t xml:space="preserve">in degrees,</w:t>
      </w:r>
      <w:r>
        <w:t xml:space="preserve"> </w:t>
      </w:r>
      <m:oMath>
        <m:sSub>
          <m:e>
            <m:r>
              <m:t>p</m:t>
            </m:r>
          </m:e>
          <m:sub>
            <m:r>
              <m:t>1</m:t>
            </m:r>
          </m:sub>
        </m:sSub>
      </m:oMath>
      <w:r>
        <w:t xml:space="preserve"> </w:t>
      </w:r>
      <w:r>
        <w:t xml:space="preserve">and</w:t>
      </w:r>
      <w:r>
        <w:t xml:space="preserve"> </w:t>
      </w:r>
      <m:oMath>
        <m:sSub>
          <m:e>
            <m:r>
              <m:t>p</m:t>
            </m:r>
          </m:e>
          <m:sub>
            <m:r>
              <m:t>3</m:t>
            </m:r>
          </m:sub>
        </m:sSub>
      </m:oMath>
      <w:r>
        <w:t xml:space="preserve"> </w:t>
      </w:r>
      <w:r>
        <w:t xml:space="preserve">in units K/Å/rad,</w:t>
      </w:r>
      <w:r>
        <w:t xml:space="preserve"> </w:t>
      </w:r>
      <m:oMath>
        <m:sSub>
          <m:e>
            <m:r>
              <m:t>p</m:t>
            </m:r>
          </m:e>
          <m:sub>
            <m:r>
              <m:t>1</m:t>
            </m:r>
          </m:sub>
        </m:sSub>
      </m:oMath>
      <w:r>
        <w:t xml:space="preserve"> </w:t>
      </w:r>
      <w:r>
        <w:t xml:space="preserve">and</w:t>
      </w:r>
      <w:r>
        <w:t xml:space="preserve"> </w:t>
      </w:r>
      <m:oMath>
        <m:sSub>
          <m:e>
            <m:r>
              <m:t>p</m:t>
            </m:r>
          </m:e>
          <m:sub>
            <m:r>
              <m:t>2</m:t>
            </m:r>
          </m:sub>
        </m:sSub>
      </m:oMath>
      <w:r>
        <w:t xml:space="preserve"> </w:t>
      </w:r>
      <w:r>
        <w:t xml:space="preserve">in Å.</w:t>
      </w:r>
    </w:p>
    <w:bookmarkStart w:id="49" w:name="tbl:ff-d4-cross-bondbend"/>
    <w:p>
      <w:pPr>
        <w:pStyle w:val="TableCaption"/>
      </w:pPr>
      <w:r>
        <w:t xml:space="preserve">Table 6: D4 cross-term bonding-bending potential parameters.</w:t>
      </w:r>
    </w:p>
    <w:tbl>
      <w:tblPr>
        <w:tblStyle w:val="Table"/>
        <w:tblW w:type="pct" w:w="0.0"/>
        <w:tblLook w:firstRow="1" w:lastRow="0" w:firstColumn="0" w:lastColumn="0" w:noHBand="0" w:noVBand="0" w:val="0020"/>
        <w:tblCaption w:val="Table 6: D4 cross-term bonding-bending potential parameters."/>
      </w:tblPr>
      <w:tblGrid/>
      <w:tr>
        <w:tc>
          <w:p>
            <w:pPr>
              <w:pStyle w:val="Compact"/>
              <w:jc w:val="left"/>
            </w:pPr>
            <w:r>
              <w:t xml:space="preserve">Pseudo atom</w:t>
            </w:r>
          </w:p>
        </w:tc>
        <w:tc>
          <w:p>
            <w:pPr>
              <w:pStyle w:val="Compact"/>
              <w:jc w:val="left"/>
            </w:pPr>
            <w:r>
              <w:t xml:space="preserve">Type of bond-angle</w:t>
            </w:r>
          </w:p>
        </w:tc>
        <w:tc>
          <w:p>
            <w:pPr>
              <w:pStyle w:val="Compact"/>
              <w:jc w:val="left"/>
            </w:pPr>
            <w:r>
              <w:t xml:space="preserve">po (°)</w:t>
            </w:r>
          </w:p>
        </w:tc>
        <w:tc>
          <w:p>
            <w:pPr>
              <w:pStyle w:val="Compact"/>
              <w:jc w:val="left"/>
            </w:pPr>
            <m:oMath>
              <m:sSub>
                <m:e>
                  <m:r>
                    <m:t>p</m:t>
                  </m:r>
                </m:e>
                <m:sub>
                  <m:r>
                    <m:t>1</m:t>
                  </m:r>
                </m:sub>
              </m:sSub>
            </m:oMath>
            <w:r>
              <w:t xml:space="preserve"> </w:t>
            </w:r>
            <w:r>
              <w:t xml:space="preserve">(K/Å/rad)</w:t>
            </w:r>
          </w:p>
        </w:tc>
        <w:tc>
          <w:p>
            <w:pPr>
              <w:pStyle w:val="Compact"/>
              <w:jc w:val="left"/>
            </w:pPr>
            <m:oMath>
              <m:sSub>
                <m:e>
                  <m:r>
                    <m:t>p</m:t>
                  </m:r>
                </m:e>
                <m:sub>
                  <m:r>
                    <m:t>2</m:t>
                  </m:r>
                </m:sub>
              </m:sSub>
            </m:oMath>
            <w:r>
              <w:t xml:space="preserve"> </w:t>
            </w:r>
            <w:r>
              <w:t xml:space="preserve">(Å)</w:t>
            </w:r>
          </w:p>
        </w:tc>
        <w:tc>
          <w:p>
            <w:pPr>
              <w:pStyle w:val="Compact"/>
              <w:jc w:val="left"/>
            </w:pPr>
            <m:oMath>
              <m:sSub>
                <m:e>
                  <m:r>
                    <m:t>p</m:t>
                  </m:r>
                </m:e>
                <m:sub>
                  <m:r>
                    <m:t>3</m:t>
                  </m:r>
                </m:sub>
              </m:sSub>
            </m:oMath>
            <w:r>
              <w:t xml:space="preserve"> </w:t>
            </w:r>
            <w:r>
              <w:t xml:space="preserve">(K/Å/rad)</w:t>
            </w:r>
          </w:p>
        </w:tc>
        <w:tc>
          <w:p>
            <w:pPr>
              <w:pStyle w:val="Compact"/>
              <w:jc w:val="left"/>
            </w:pPr>
            <m:oMath>
              <m:sSub>
                <m:e>
                  <m:r>
                    <m:t>p</m:t>
                  </m:r>
                </m:e>
                <m:sub>
                  <m:r>
                    <m:t>4</m:t>
                  </m:r>
                </m:sub>
              </m:sSub>
            </m:oMath>
            <w:r>
              <w:t xml:space="preserve"> </w:t>
            </w:r>
            <w:r>
              <w:t xml:space="preserve">(Å)</w:t>
            </w:r>
          </w:p>
        </w:tc>
      </w:tr>
      <w:tr>
        <w:tc>
          <w:p>
            <w:pPr>
              <w:pStyle w:val="Compact"/>
              <w:jc w:val="left"/>
            </w:pPr>
            <w:r>
              <w:t xml:space="preserve">Si-C-H</w:t>
            </w:r>
          </w:p>
        </w:tc>
        <w:tc>
          <w:p>
            <w:pPr>
              <w:pStyle w:val="Compact"/>
              <w:jc w:val="left"/>
            </w:pPr>
            <w:r>
              <w:t xml:space="preserve">CFF_BOND_BEND_CROSS</w:t>
            </w:r>
          </w:p>
        </w:tc>
        <w:tc>
          <w:p>
            <w:pPr>
              <w:pStyle w:val="Compact"/>
              <w:jc w:val="left"/>
            </w:pPr>
            <w:r>
              <w:t xml:space="preserve">0</w:t>
            </w:r>
          </w:p>
        </w:tc>
        <w:tc>
          <w:p>
            <w:pPr>
              <w:pStyle w:val="Compact"/>
              <w:jc w:val="left"/>
            </w:pPr>
            <w:r>
              <w:t xml:space="preserve">14733.359</w:t>
            </w:r>
          </w:p>
        </w:tc>
        <w:tc>
          <w:p>
            <w:pPr>
              <w:pStyle w:val="Compact"/>
              <w:jc w:val="left"/>
            </w:pPr>
            <w:r>
              <w:t xml:space="preserve">0</w:t>
            </w:r>
          </w:p>
        </w:tc>
        <w:tc>
          <w:p>
            <w:pPr>
              <w:pStyle w:val="Compact"/>
              <w:jc w:val="left"/>
            </w:pPr>
            <w:r>
              <w:t xml:space="preserve">9742.06</w:t>
            </w:r>
          </w:p>
        </w:tc>
        <w:tc>
          <w:p>
            <w:pPr>
              <w:pStyle w:val="Compact"/>
              <w:jc w:val="left"/>
            </w:pPr>
            <w:r>
              <w:t xml:space="preserve">0</w:t>
            </w:r>
          </w:p>
        </w:tc>
      </w:tr>
      <w:tr>
        <w:tc>
          <w:p>
            <w:pPr>
              <w:pStyle w:val="Compact"/>
              <w:jc w:val="left"/>
            </w:pPr>
            <w:r>
              <w:t xml:space="preserve">C-Si-C</w:t>
            </w:r>
          </w:p>
        </w:tc>
        <w:tc>
          <w:p>
            <w:pPr>
              <w:pStyle w:val="Compact"/>
              <w:jc w:val="left"/>
            </w:pPr>
            <w:r>
              <w:t xml:space="preserve">CFF_BOND_BEND_CROSS</w:t>
            </w:r>
          </w:p>
        </w:tc>
        <w:tc>
          <w:p>
            <w:pPr>
              <w:pStyle w:val="Compact"/>
              <w:jc w:val="left"/>
            </w:pPr>
            <w:r>
              <w:t xml:space="preserve">0</w:t>
            </w:r>
          </w:p>
        </w:tc>
        <w:tc>
          <w:p>
            <w:pPr>
              <w:pStyle w:val="Compact"/>
              <w:jc w:val="left"/>
            </w:pPr>
            <w:r>
              <w:t xml:space="preserve">781.770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C-Si-O</w:t>
            </w:r>
          </w:p>
        </w:tc>
        <w:tc>
          <w:p>
            <w:pPr>
              <w:pStyle w:val="Compact"/>
              <w:jc w:val="left"/>
            </w:pPr>
            <w:r>
              <w:t xml:space="preserve">CFF_BOND_BEND_CROSS</w:t>
            </w:r>
          </w:p>
        </w:tc>
        <w:tc>
          <w:p>
            <w:pPr>
              <w:pStyle w:val="Compact"/>
              <w:jc w:val="left"/>
            </w:pPr>
            <w:r>
              <w:t xml:space="preserve">0</w:t>
            </w:r>
          </w:p>
        </w:tc>
        <w:tc>
          <w:p>
            <w:pPr>
              <w:pStyle w:val="Compact"/>
              <w:jc w:val="left"/>
            </w:pPr>
            <w:r>
              <w:t xml:space="preserve">11425.871</w:t>
            </w:r>
          </w:p>
        </w:tc>
        <w:tc>
          <w:p>
            <w:pPr>
              <w:pStyle w:val="Compact"/>
              <w:jc w:val="left"/>
            </w:pPr>
            <w:r>
              <w:t xml:space="preserve">0</w:t>
            </w:r>
          </w:p>
        </w:tc>
        <w:tc>
          <w:p>
            <w:pPr>
              <w:pStyle w:val="Compact"/>
              <w:jc w:val="left"/>
            </w:pPr>
            <w:r>
              <w:t xml:space="preserve">27061.27</w:t>
            </w:r>
          </w:p>
        </w:tc>
        <w:tc>
          <w:p>
            <w:pPr>
              <w:pStyle w:val="Compact"/>
              <w:jc w:val="left"/>
            </w:pPr>
            <w:r>
              <w:t xml:space="preserve">0</w:t>
            </w:r>
          </w:p>
        </w:tc>
      </w:tr>
    </w:tbl>
    <w:bookmarkEnd w:id="49"/>
    <w:p>
      <w:pPr>
        <w:pStyle w:val="BodyText"/>
      </w:pPr>
      <w:r>
        <w:rPr>
          <w:bCs/>
          <w:b/>
        </w:rPr>
        <w:t xml:space="preserve">D4 LJ parameters and charges</w:t>
      </w:r>
    </w:p>
    <w:p>
      <w:pPr>
        <w:pStyle w:val="BodyText"/>
      </w:pPr>
      <w:r>
        <w:t xml:space="preserve">The electronic potential (ESP) derived partial charges of D4 were computed by density functional</w:t>
      </w:r>
      <w:r>
        <w:t xml:space="preserve"> </w:t>
      </w:r>
      <w:r>
        <w:t xml:space="preserve">theory (DFT) calculations with PBE (Perdew-Burke-Ernzerhof) functional</w:t>
      </w:r>
      <w:r>
        <w:t xml:space="preserve"> </w:t>
      </w:r>
      <w:hyperlink w:anchor="X407bd9ef9fb5eb381adefc197dc6ce6bcb10191">
        <w:r>
          <w:rPr>
            <w:rStyle w:val="Hyperlink"/>
          </w:rPr>
          <w:t xml:space="preserve">[59]</w:t>
        </w:r>
      </w:hyperlink>
      <w:r>
        <w:t xml:space="preserve"> </w:t>
      </w:r>
      <w:r>
        <w:t xml:space="preserve">and DNP (double numeric plus polarization) basis set</w:t>
      </w:r>
      <w:r>
        <w:t xml:space="preserve"> </w:t>
      </w:r>
      <w:hyperlink w:anchor="X36e9b9f76db5bc7abd773beb5c4cb2f7a3b2dac">
        <w:r>
          <w:rPr>
            <w:rStyle w:val="Hyperlink"/>
          </w:rPr>
          <w:t xml:space="preserve">[60]</w:t>
        </w:r>
      </w:hyperlink>
      <w:r>
        <w:t xml:space="preserve">, using DMol</w:t>
      </w:r>
      <w:r>
        <w:rPr>
          <w:vertAlign w:val="superscript"/>
        </w:rPr>
        <w:t xml:space="preserve">3</w:t>
      </w:r>
      <w:r>
        <w:t xml:space="preserve"> </w:t>
      </w:r>
      <w:r>
        <w:t xml:space="preserve">module</w:t>
      </w:r>
      <w:r>
        <w:t xml:space="preserve"> </w:t>
      </w:r>
      <w:hyperlink w:anchor="ref-delleyAllElectronNumerical1990">
        <w:r>
          <w:rPr>
            <w:rStyle w:val="Hyperlink"/>
          </w:rPr>
          <w:t xml:space="preserve">[61]</w:t>
        </w:r>
      </w:hyperlink>
      <w:r>
        <w:t xml:space="preserve"> </w:t>
      </w:r>
      <w:r>
        <w:t xml:space="preserve">in Materials Studio</w:t>
      </w:r>
      <w:r>
        <w:t xml:space="preserve"> </w:t>
      </w:r>
      <w:hyperlink w:anchor="ref-accelrysMaterialsStudio2001">
        <w:r>
          <w:rPr>
            <w:rStyle w:val="Hyperlink"/>
          </w:rPr>
          <w:t xml:space="preserve">[62]</w:t>
        </w:r>
      </w:hyperlink>
      <w:r>
        <w:t xml:space="preserve"> </w:t>
      </w:r>
      <w:r>
        <w:t xml:space="preserve">(tbl. </w:t>
      </w:r>
      <w:hyperlink w:anchor="tbl:ff-d4-charge">
        <w:r>
          <w:rPr>
            <w:rStyle w:val="Hyperlink"/>
          </w:rPr>
          <w:t xml:space="preserve">7</w:t>
        </w:r>
      </w:hyperlink>
      <w:r>
        <w:t xml:space="preserve">).</w:t>
      </w:r>
    </w:p>
    <w:bookmarkStart w:id="50" w:name="tbl:ff-d4-charge"/>
    <w:p>
      <w:pPr>
        <w:pStyle w:val="TableCaption"/>
      </w:pPr>
      <w:r>
        <w:t xml:space="preserve">Table 7: Charges and Lennard-Jones parameters for all atoms of D4.</w:t>
      </w:r>
    </w:p>
    <w:tbl>
      <w:tblPr>
        <w:tblStyle w:val="Table"/>
        <w:tblW w:type="pct" w:w="0.0"/>
        <w:tblLook w:firstRow="1" w:lastRow="0" w:firstColumn="0" w:lastColumn="0" w:noHBand="0" w:noVBand="0" w:val="0020"/>
        <w:tblCaption w:val="Table 7: Charges and Lennard-Jones parameters for all atoms of D4."/>
      </w:tblPr>
      <w:tblGrid/>
      <w:tr>
        <w:tc>
          <w:p>
            <w:pPr>
              <w:pStyle w:val="Compact"/>
              <w:jc w:val="left"/>
            </w:pPr>
            <w:r>
              <w:t xml:space="preserve">Pseudo atom</w:t>
            </w:r>
          </w:p>
        </w:tc>
        <w:tc>
          <w:p>
            <w:pPr>
              <w:pStyle w:val="Compact"/>
              <w:jc w:val="left"/>
            </w:pPr>
            <w:r>
              <w:t xml:space="preserve">Charge (e</w:t>
            </w:r>
            <w:r>
              <w:rPr>
                <w:vertAlign w:val="superscript"/>
              </w:rPr>
              <w:t xml:space="preserve">-</w:t>
            </w:r>
            <w:r>
              <w:t xml:space="preserve">)</w:t>
            </w:r>
          </w:p>
        </w:tc>
        <w:tc>
          <w:p>
            <w:pPr>
              <w:pStyle w:val="Compact"/>
              <w:jc w:val="left"/>
            </w:pPr>
            <m:oMath>
              <m:r>
                <m:t>ϵ</m:t>
              </m:r>
              <m:r>
                <m:rPr>
                  <m:sty m:val="p"/>
                </m:rPr>
                <m:t>/</m:t>
              </m:r>
              <m:sSub>
                <m:e>
                  <m:r>
                    <m:t>κ</m:t>
                  </m:r>
                </m:e>
                <m:sub>
                  <m:r>
                    <m:t>B</m:t>
                  </m:r>
                </m:sub>
              </m:sSub>
            </m:oMath>
            <w:r>
              <w:t xml:space="preserve"> </w:t>
            </w:r>
            <w:r>
              <w:t xml:space="preserve">(K)</w:t>
            </w:r>
          </w:p>
        </w:tc>
        <w:tc>
          <w:p>
            <w:pPr>
              <w:pStyle w:val="Compact"/>
              <w:jc w:val="left"/>
            </w:pPr>
            <m:oMath>
              <m:r>
                <m:t>σ</m:t>
              </m:r>
            </m:oMath>
            <w:r>
              <w:t xml:space="preserve"> </w:t>
            </w:r>
            <w:r>
              <w:t xml:space="preserve">(Å)</w:t>
            </w:r>
          </w:p>
        </w:tc>
      </w:tr>
      <w:tr>
        <w:tc>
          <w:p>
            <w:pPr>
              <w:pStyle w:val="Compact"/>
              <w:jc w:val="left"/>
            </w:pPr>
            <w:r>
              <w:t xml:space="preserve">Si</w:t>
            </w:r>
          </w:p>
        </w:tc>
        <w:tc>
          <w:p>
            <w:pPr>
              <w:pStyle w:val="Compact"/>
              <w:jc w:val="left"/>
            </w:pPr>
            <w:r>
              <w:t xml:space="preserve">1.321</w:t>
            </w:r>
          </w:p>
        </w:tc>
        <w:tc>
          <w:p>
            <w:pPr>
              <w:pStyle w:val="Compact"/>
              <w:jc w:val="left"/>
            </w:pPr>
            <w:r>
              <w:t xml:space="preserve">202.429</w:t>
            </w:r>
          </w:p>
        </w:tc>
        <w:tc>
          <w:p>
            <w:pPr>
              <w:pStyle w:val="Compact"/>
              <w:jc w:val="left"/>
            </w:pPr>
            <w:r>
              <w:t xml:space="preserve">3.826</w:t>
            </w:r>
          </w:p>
        </w:tc>
      </w:tr>
      <w:tr>
        <w:tc>
          <w:p>
            <w:pPr>
              <w:pStyle w:val="Compact"/>
              <w:jc w:val="left"/>
            </w:pPr>
            <w:r>
              <w:t xml:space="preserve">O</w:t>
            </w:r>
          </w:p>
        </w:tc>
        <w:tc>
          <w:p>
            <w:pPr>
              <w:pStyle w:val="Compact"/>
              <w:jc w:val="left"/>
            </w:pPr>
            <w:r>
              <w:t xml:space="preserve">-0.763</w:t>
            </w:r>
          </w:p>
        </w:tc>
        <w:tc>
          <w:p>
            <w:pPr>
              <w:pStyle w:val="Compact"/>
              <w:jc w:val="left"/>
            </w:pPr>
            <w:r>
              <w:t xml:space="preserve">30.213</w:t>
            </w:r>
          </w:p>
        </w:tc>
        <w:tc>
          <w:p>
            <w:pPr>
              <w:pStyle w:val="Compact"/>
              <w:jc w:val="left"/>
            </w:pPr>
            <w:r>
              <w:t xml:space="preserve">3.118</w:t>
            </w:r>
          </w:p>
        </w:tc>
      </w:tr>
      <w:tr>
        <w:tc>
          <w:p>
            <w:pPr>
              <w:pStyle w:val="Compact"/>
              <w:jc w:val="left"/>
            </w:pPr>
            <w:r>
              <w:t xml:space="preserve">C</w:t>
            </w:r>
          </w:p>
        </w:tc>
        <w:tc>
          <w:p>
            <w:pPr>
              <w:pStyle w:val="Compact"/>
              <w:jc w:val="left"/>
            </w:pPr>
            <w:r>
              <w:t xml:space="preserve">-0.889</w:t>
            </w:r>
          </w:p>
        </w:tc>
        <w:tc>
          <w:p>
            <w:pPr>
              <w:pStyle w:val="Compact"/>
              <w:jc w:val="left"/>
            </w:pPr>
            <w:r>
              <w:t xml:space="preserve">52.873</w:t>
            </w:r>
          </w:p>
        </w:tc>
        <w:tc>
          <w:p>
            <w:pPr>
              <w:pStyle w:val="Compact"/>
              <w:jc w:val="left"/>
            </w:pPr>
            <w:r>
              <w:t xml:space="preserve">3.431</w:t>
            </w:r>
          </w:p>
        </w:tc>
      </w:tr>
      <w:tr>
        <w:tc>
          <w:p>
            <w:pPr>
              <w:pStyle w:val="Compact"/>
              <w:jc w:val="left"/>
            </w:pPr>
            <w:r>
              <w:t xml:space="preserve">H</w:t>
            </w:r>
          </w:p>
        </w:tc>
        <w:tc>
          <w:p>
            <w:pPr>
              <w:pStyle w:val="Compact"/>
              <w:jc w:val="left"/>
            </w:pPr>
            <w:r>
              <w:t xml:space="preserve">0.2032</w:t>
            </w:r>
          </w:p>
        </w:tc>
        <w:tc>
          <w:p>
            <w:pPr>
              <w:pStyle w:val="Compact"/>
              <w:jc w:val="left"/>
            </w:pPr>
            <w:r>
              <w:t xml:space="preserve">22.156</w:t>
            </w:r>
          </w:p>
        </w:tc>
        <w:tc>
          <w:p>
            <w:pPr>
              <w:pStyle w:val="Compact"/>
              <w:jc w:val="left"/>
            </w:pPr>
            <w:r>
              <w:t xml:space="preserve">2.571</w:t>
            </w:r>
          </w:p>
        </w:tc>
      </w:tr>
    </w:tbl>
    <w:bookmarkEnd w:id="50"/>
    <w:bookmarkEnd w:id="51"/>
    <w:bookmarkStart w:id="72" w:name="si-screening-dataset"/>
    <w:p>
      <w:pPr>
        <w:pStyle w:val="Heading3"/>
      </w:pPr>
      <w:r>
        <w:t xml:space="preserve">Screening dataset</w:t>
      </w:r>
    </w:p>
    <w:p>
      <w:pPr>
        <w:pStyle w:val="FirstParagraph"/>
      </w:pPr>
      <w:r>
        <w:t xml:space="preserve">1710 non-disordered MOFs with pore limiting diameters &gt; 6 Å were screened from CoRE-MOF database,</w:t>
      </w:r>
      <w:r>
        <w:t xml:space="preserve"> </w:t>
      </w:r>
      <w:r>
        <w:t xml:space="preserve">to which 29 well-known MOFs were added with proven stability and high porosity, including the MOF-74</w:t>
      </w:r>
      <w:r>
        <w:t xml:space="preserve"> </w:t>
      </w:r>
      <w:r>
        <w:t xml:space="preserve">isoreticular series</w:t>
      </w:r>
      <w:r>
        <w:t xml:space="preserve"> </w:t>
      </w:r>
      <w:hyperlink w:anchor="ref-gulcayBiocompatibleMOFsStorage2019">
        <w:r>
          <w:rPr>
            <w:rStyle w:val="Hyperlink"/>
          </w:rPr>
          <w:t xml:space="preserve">[63]</w:t>
        </w:r>
      </w:hyperlink>
      <w:r>
        <w:t xml:space="preserve">, Cr-soc-MOF-1</w:t>
      </w:r>
      <w:r>
        <w:t xml:space="preserve"> </w:t>
      </w:r>
      <w:hyperlink w:anchor="ref-nandiRevisitingWaterSorption2019">
        <w:r>
          <w:rPr>
            <w:rStyle w:val="Hyperlink"/>
          </w:rPr>
          <w:t xml:space="preserve">[64]</w:t>
        </w:r>
      </w:hyperlink>
      <w:r>
        <w:t xml:space="preserve">, UiO-68 (UiO for University of Oslo), MOF-808,</w:t>
      </w:r>
      <w:r>
        <w:t xml:space="preserve"> </w:t>
      </w:r>
      <w:hyperlink w:anchor="X5a42dda82a02cd4d998f377e073e21f128c2795">
        <w:r>
          <w:rPr>
            <w:rStyle w:val="Hyperlink"/>
          </w:rPr>
          <w:t xml:space="preserve">[65]</w:t>
        </w:r>
      </w:hyperlink>
      <w:r>
        <w:t xml:space="preserve"> </w:t>
      </w:r>
      <w:r>
        <w:t xml:space="preserve">and a several structures originating from Dresden</w:t>
      </w:r>
      <w:r>
        <w:t xml:space="preserve"> </w:t>
      </w:r>
      <w:r>
        <w:t xml:space="preserve">University of Technology (DUT) and Material of Institute Lavoisier (MIL). This additional list is</w:t>
      </w:r>
      <w:r>
        <w:t xml:space="preserve"> </w:t>
      </w:r>
      <w:r>
        <w:t xml:space="preserve">given in tbl. </w:t>
      </w:r>
      <w:hyperlink w:anchor="tbl:extra-mofs">
        <w:r>
          <w:rPr>
            <w:rStyle w:val="Hyperlink"/>
          </w:rPr>
          <w:t xml:space="preserve">8</w:t>
        </w:r>
      </w:hyperlink>
      <w:r>
        <w:t xml:space="preserve">.</w:t>
      </w:r>
    </w:p>
    <w:p>
      <w:pPr>
        <w:pStyle w:val="BodyText"/>
      </w:pPr>
      <w:r>
        <w:t xml:space="preserve">The combined dataset of 1739 MOFs show a broad range of geometric and textural features: PLDs</w:t>
      </w:r>
      <w:r>
        <w:t xml:space="preserve"> </w:t>
      </w:r>
      <w:r>
        <w:t xml:space="preserve">(6.0–71.5 Å),</w:t>
      </w:r>
      <w:r>
        <w:t xml:space="preserve"> </w:t>
      </w:r>
      <m:oMath>
        <m:r>
          <m:t>N</m:t>
        </m:r>
        <m:r>
          <m:t>2</m:t>
        </m:r>
      </m:oMath>
      <w:r>
        <w:t xml:space="preserve"> </w:t>
      </w:r>
      <w:r>
        <w:t xml:space="preserve">accessible SA (320–6770 m</w:t>
      </w:r>
      <w:r>
        <w:rPr>
          <w:vertAlign w:val="superscript"/>
        </w:rPr>
        <w:t xml:space="preserve">2</w:t>
      </w:r>
      <w:r>
        <w:t xml:space="preserve">/g), density (0.13–2.22 g/cm</w:t>
      </w:r>
      <w:r>
        <w:rPr>
          <w:vertAlign w:val="superscript"/>
        </w:rPr>
        <w:t xml:space="preserve">3</w:t>
      </w:r>
      <w:r>
        <w:t xml:space="preserve">),</w:t>
      </w:r>
      <w:r>
        <w:t xml:space="preserve"> </w:t>
      </w:r>
      <m:oMath>
        <m:r>
          <m:t>ϕ</m:t>
        </m:r>
      </m:oMath>
      <w:r>
        <w:t xml:space="preserve"> </w:t>
      </w:r>
      <w:r>
        <w:t xml:space="preserve">(0.42–0.94) and PVs (0.23–7.46 cm</w:t>
      </w:r>
      <w:r>
        <w:rPr>
          <w:vertAlign w:val="superscript"/>
        </w:rPr>
        <w:t xml:space="preserve">3</w:t>
      </w:r>
      <w:r>
        <w:t xml:space="preserve">/g).</w:t>
      </w:r>
    </w:p>
    <w:bookmarkStart w:id="52" w:name="tbl:extra-mofs"/>
    <w:p>
      <w:pPr>
        <w:pStyle w:val="TableCaption"/>
      </w:pPr>
      <w:r>
        <w:t xml:space="preserve">Table 8: Details of the 29 MOFs added to the COREMOF database.</w:t>
      </w:r>
    </w:p>
    <w:tbl>
      <w:tblPr>
        <w:tblStyle w:val="Table"/>
        <w:tblW w:type="pct" w:w="0.0"/>
        <w:tblLook w:firstRow="1" w:lastRow="0" w:firstColumn="0" w:lastColumn="0" w:noHBand="0" w:noVBand="0" w:val="0020"/>
        <w:tblCaption w:val="Table 8: Details of the 29 MOFs added to the COREMOF database."/>
      </w:tblPr>
      <w:tblGrid/>
      <w:tr>
        <w:tc>
          <w:p>
            <w:pPr>
              <w:pStyle w:val="Compact"/>
              <w:jc w:val="left"/>
            </w:pPr>
            <w:r>
              <w:t xml:space="preserve">MOFs</w:t>
            </w:r>
          </w:p>
        </w:tc>
        <w:tc>
          <w:p>
            <w:pPr>
              <w:pStyle w:val="Compact"/>
              <w:jc w:val="left"/>
            </w:pPr>
            <w:r>
              <w:t xml:space="preserve">Reference</w:t>
            </w:r>
          </w:p>
        </w:tc>
        <w:tc>
          <w:p>
            <w:pPr>
              <w:pStyle w:val="Compact"/>
              <w:jc w:val="left"/>
            </w:pPr>
            <w:r>
              <w:t xml:space="preserve">MOFs</w:t>
            </w:r>
          </w:p>
        </w:tc>
        <w:tc>
          <w:p>
            <w:pPr>
              <w:pStyle w:val="Compact"/>
              <w:jc w:val="left"/>
            </w:pPr>
            <w:r>
              <w:t xml:space="preserve">Reference</w:t>
            </w:r>
          </w:p>
        </w:tc>
      </w:tr>
      <w:tr>
        <w:tc>
          <w:p>
            <w:pPr>
              <w:pStyle w:val="Compact"/>
              <w:jc w:val="left"/>
            </w:pPr>
            <w:r>
              <w:t xml:space="preserve">RAVWAO</w:t>
            </w:r>
          </w:p>
        </w:tc>
        <w:tc>
          <w:p>
            <w:pPr>
              <w:pStyle w:val="Compact"/>
              <w:jc w:val="left"/>
            </w:pPr>
            <w:hyperlink w:anchor="ref-gulcayBiocompatibleMOFsStorage2019">
              <w:r>
                <w:rPr>
                  <w:rStyle w:val="Hyperlink"/>
                </w:rPr>
                <w:t xml:space="preserve">[63]</w:t>
              </w:r>
            </w:hyperlink>
          </w:p>
        </w:tc>
        <w:tc>
          <w:p>
            <w:pPr>
              <w:pStyle w:val="Compact"/>
              <w:jc w:val="left"/>
            </w:pPr>
            <w:r>
              <w:t xml:space="preserve">DUT-5</w:t>
            </w:r>
          </w:p>
        </w:tc>
        <w:tc>
          <w:p>
            <w:pPr>
              <w:pStyle w:val="Compact"/>
              <w:jc w:val="left"/>
            </w:pPr>
            <w:hyperlink w:anchor="ref-senkovskaNewHighlyPorous2009">
              <w:r>
                <w:rPr>
                  <w:rStyle w:val="Hyperlink"/>
                </w:rPr>
                <w:t xml:space="preserve">[66]</w:t>
              </w:r>
            </w:hyperlink>
          </w:p>
        </w:tc>
      </w:tr>
      <w:tr>
        <w:tc>
          <w:p>
            <w:pPr>
              <w:pStyle w:val="Compact"/>
              <w:jc w:val="left"/>
            </w:pPr>
            <w:r>
              <w:t xml:space="preserve">RAVWES</w:t>
            </w:r>
          </w:p>
        </w:tc>
        <w:tc>
          <w:p>
            <w:pPr>
              <w:pStyle w:val="Compact"/>
              <w:jc w:val="left"/>
            </w:pPr>
            <w:hyperlink w:anchor="ref-gulcayBiocompatibleMOFsStorage2019">
              <w:r>
                <w:rPr>
                  <w:rStyle w:val="Hyperlink"/>
                </w:rPr>
                <w:t xml:space="preserve">[63]</w:t>
              </w:r>
            </w:hyperlink>
          </w:p>
        </w:tc>
        <w:tc>
          <w:p>
            <w:pPr>
              <w:pStyle w:val="Compact"/>
              <w:jc w:val="left"/>
            </w:pPr>
            <w:r>
              <w:t xml:space="preserve">DUT-51-Zr</w:t>
            </w:r>
          </w:p>
        </w:tc>
        <w:tc>
          <w:p>
            <w:pPr>
              <w:pStyle w:val="Compact"/>
              <w:jc w:val="left"/>
            </w:pPr>
            <w:hyperlink w:anchor="ref-bonZrIvHf2012">
              <w:r>
                <w:rPr>
                  <w:rStyle w:val="Hyperlink"/>
                </w:rPr>
                <w:t xml:space="preserve">[67]</w:t>
              </w:r>
            </w:hyperlink>
          </w:p>
        </w:tc>
      </w:tr>
      <w:tr>
        <w:tc>
          <w:p>
            <w:pPr>
              <w:pStyle w:val="Compact"/>
              <w:jc w:val="left"/>
            </w:pPr>
            <w:r>
              <w:t xml:space="preserve">RAVWIW</w:t>
            </w:r>
          </w:p>
        </w:tc>
        <w:tc>
          <w:p>
            <w:pPr>
              <w:pStyle w:val="Compact"/>
              <w:jc w:val="left"/>
            </w:pPr>
            <w:hyperlink w:anchor="ref-gulcayBiocompatibleMOFsStorage2019">
              <w:r>
                <w:rPr>
                  <w:rStyle w:val="Hyperlink"/>
                </w:rPr>
                <w:t xml:space="preserve">[63]</w:t>
              </w:r>
            </w:hyperlink>
          </w:p>
        </w:tc>
        <w:tc>
          <w:p>
            <w:pPr>
              <w:pStyle w:val="Compact"/>
              <w:jc w:val="left"/>
            </w:pPr>
            <w:r>
              <w:t xml:space="preserve">DUT-67-Zr</w:t>
            </w:r>
          </w:p>
        </w:tc>
        <w:tc>
          <w:p>
            <w:pPr>
              <w:pStyle w:val="Compact"/>
              <w:jc w:val="left"/>
            </w:pPr>
            <w:hyperlink w:anchor="ref-bonZrHfBasedMetal2013">
              <w:r>
                <w:rPr>
                  <w:rStyle w:val="Hyperlink"/>
                </w:rPr>
                <w:t xml:space="preserve">[68]</w:t>
              </w:r>
            </w:hyperlink>
          </w:p>
        </w:tc>
      </w:tr>
      <w:tr>
        <w:tc>
          <w:p>
            <w:pPr>
              <w:pStyle w:val="Compact"/>
              <w:jc w:val="left"/>
            </w:pPr>
            <w:r>
              <w:t xml:space="preserve">RAVWOC</w:t>
            </w:r>
          </w:p>
        </w:tc>
        <w:tc>
          <w:p>
            <w:pPr>
              <w:pStyle w:val="Compact"/>
              <w:jc w:val="left"/>
            </w:pPr>
            <w:hyperlink w:anchor="ref-gulcayBiocompatibleMOFsStorage2019">
              <w:r>
                <w:rPr>
                  <w:rStyle w:val="Hyperlink"/>
                </w:rPr>
                <w:t xml:space="preserve">[63]</w:t>
              </w:r>
            </w:hyperlink>
          </w:p>
        </w:tc>
        <w:tc>
          <w:p>
            <w:pPr>
              <w:pStyle w:val="Compact"/>
              <w:jc w:val="left"/>
            </w:pPr>
            <w:r>
              <w:t xml:space="preserve">MIL-68(Al)</w:t>
            </w:r>
          </w:p>
        </w:tc>
        <w:tc>
          <w:p>
            <w:pPr>
              <w:pStyle w:val="Compact"/>
              <w:jc w:val="left"/>
            </w:pPr>
            <w:hyperlink w:anchor="ref-yangProbingAdsorptionPerformance2012">
              <w:r>
                <w:rPr>
                  <w:rStyle w:val="Hyperlink"/>
                </w:rPr>
                <w:t xml:space="preserve">[69]</w:t>
              </w:r>
            </w:hyperlink>
          </w:p>
        </w:tc>
      </w:tr>
      <w:tr>
        <w:tc>
          <w:p>
            <w:pPr>
              <w:pStyle w:val="Compact"/>
              <w:jc w:val="left"/>
            </w:pPr>
            <w:r>
              <w:t xml:space="preserve">RAVWUI</w:t>
            </w:r>
          </w:p>
        </w:tc>
        <w:tc>
          <w:p>
            <w:pPr>
              <w:pStyle w:val="Compact"/>
              <w:jc w:val="left"/>
            </w:pPr>
            <w:hyperlink w:anchor="ref-gulcayBiocompatibleMOFsStorage2019">
              <w:r>
                <w:rPr>
                  <w:rStyle w:val="Hyperlink"/>
                </w:rPr>
                <w:t xml:space="preserve">[63]</w:t>
              </w:r>
            </w:hyperlink>
          </w:p>
        </w:tc>
        <w:tc>
          <w:p>
            <w:pPr>
              <w:pStyle w:val="Compact"/>
              <w:jc w:val="left"/>
            </w:pPr>
            <w:r>
              <w:t xml:space="preserve">Cr-soc-MOF-1</w:t>
            </w:r>
          </w:p>
        </w:tc>
        <w:tc>
          <w:p>
            <w:pPr>
              <w:pStyle w:val="Compact"/>
              <w:jc w:val="left"/>
            </w:pPr>
            <w:hyperlink w:anchor="ref-nandiRevisitingWaterSorption2019">
              <w:r>
                <w:rPr>
                  <w:rStyle w:val="Hyperlink"/>
                </w:rPr>
                <w:t xml:space="preserve">[64]</w:t>
              </w:r>
            </w:hyperlink>
          </w:p>
        </w:tc>
      </w:tr>
      <w:tr>
        <w:tc>
          <w:p>
            <w:pPr>
              <w:pStyle w:val="Compact"/>
              <w:jc w:val="left"/>
            </w:pPr>
            <w:r>
              <w:t xml:space="preserve">RAVXAP</w:t>
            </w:r>
          </w:p>
        </w:tc>
        <w:tc>
          <w:p>
            <w:pPr>
              <w:pStyle w:val="Compact"/>
              <w:jc w:val="left"/>
            </w:pPr>
            <w:hyperlink w:anchor="ref-gulcayBiocompatibleMOFsStorage2019">
              <w:r>
                <w:rPr>
                  <w:rStyle w:val="Hyperlink"/>
                </w:rPr>
                <w:t xml:space="preserve">[63]</w:t>
              </w:r>
            </w:hyperlink>
          </w:p>
        </w:tc>
        <w:tc>
          <w:p>
            <w:pPr>
              <w:pStyle w:val="Compact"/>
              <w:jc w:val="left"/>
            </w:pPr>
            <w:r>
              <w:t xml:space="preserve">MIP</w:t>
            </w:r>
            <w:r>
              <w:rPr>
                <w:vertAlign w:val="superscript"/>
              </w:rPr>
              <w:t xml:space="preserve">[4]</w:t>
            </w:r>
            <w:r>
              <w:t xml:space="preserve">-177</w:t>
            </w:r>
          </w:p>
        </w:tc>
        <w:tc>
          <w:p>
            <w:pPr>
              <w:pStyle w:val="Compact"/>
              <w:jc w:val="left"/>
            </w:pPr>
            <w:hyperlink w:anchor="Xa8f3f75a71245cd475e1e516d17f77ff89ec2e2">
              <w:r>
                <w:rPr>
                  <w:rStyle w:val="Hyperlink"/>
                </w:rPr>
                <w:t xml:space="preserve">[70]</w:t>
              </w:r>
            </w:hyperlink>
          </w:p>
        </w:tc>
      </w:tr>
      <w:tr>
        <w:tc>
          <w:p>
            <w:pPr>
              <w:pStyle w:val="Compact"/>
              <w:jc w:val="left"/>
            </w:pPr>
            <w:r>
              <w:t xml:space="preserve">RAVXET</w:t>
            </w:r>
          </w:p>
        </w:tc>
        <w:tc>
          <w:p>
            <w:pPr>
              <w:pStyle w:val="Compact"/>
              <w:jc w:val="left"/>
            </w:pPr>
            <w:hyperlink w:anchor="ref-gulcayBiocompatibleMOFsStorage2019">
              <w:r>
                <w:rPr>
                  <w:rStyle w:val="Hyperlink"/>
                </w:rPr>
                <w:t xml:space="preserve">[63]</w:t>
              </w:r>
            </w:hyperlink>
          </w:p>
        </w:tc>
        <w:tc>
          <w:p>
            <w:pPr>
              <w:pStyle w:val="Compact"/>
              <w:jc w:val="left"/>
            </w:pPr>
            <w:r>
              <w:t xml:space="preserve">MIP-200</w:t>
            </w:r>
          </w:p>
        </w:tc>
        <w:tc>
          <w:p>
            <w:pPr>
              <w:pStyle w:val="Compact"/>
              <w:jc w:val="left"/>
            </w:pPr>
            <w:hyperlink w:anchor="ref-wangRobustLargeporeZirconium2018">
              <w:r>
                <w:rPr>
                  <w:rStyle w:val="Hyperlink"/>
                </w:rPr>
                <w:t xml:space="preserve">[71]</w:t>
              </w:r>
            </w:hyperlink>
          </w:p>
        </w:tc>
      </w:tr>
      <w:tr>
        <w:tc>
          <w:p>
            <w:pPr>
              <w:pStyle w:val="Compact"/>
              <w:jc w:val="left"/>
            </w:pPr>
            <w:r>
              <w:t xml:space="preserve">RAVXIX</w:t>
            </w:r>
          </w:p>
        </w:tc>
        <w:tc>
          <w:p>
            <w:pPr>
              <w:pStyle w:val="Compact"/>
              <w:jc w:val="left"/>
            </w:pPr>
            <w:hyperlink w:anchor="ref-gulcayBiocompatibleMOFsStorage2019">
              <w:r>
                <w:rPr>
                  <w:rStyle w:val="Hyperlink"/>
                </w:rPr>
                <w:t xml:space="preserve">[63]</w:t>
              </w:r>
            </w:hyperlink>
          </w:p>
        </w:tc>
        <w:tc>
          <w:p>
            <w:pPr>
              <w:pStyle w:val="Compact"/>
              <w:jc w:val="left"/>
            </w:pPr>
            <w:r>
              <w:t xml:space="preserve">Zr-IPA</w:t>
            </w:r>
            <w:r>
              <w:rPr>
                <w:vertAlign w:val="superscript"/>
              </w:rPr>
              <w:t xml:space="preserve">[5]</w:t>
            </w:r>
          </w:p>
        </w:tc>
        <w:tc>
          <w:p>
            <w:pPr>
              <w:pStyle w:val="Compact"/>
              <w:jc w:val="left"/>
            </w:pPr>
            <w:hyperlink w:anchor="X4036a95edea0e2fcf47b4cfd80a44b1aae71a4e">
              <w:r>
                <w:rPr>
                  <w:rStyle w:val="Hyperlink"/>
                </w:rPr>
                <w:t xml:space="preserve">[72]</w:t>
              </w:r>
            </w:hyperlink>
          </w:p>
        </w:tc>
      </w:tr>
      <w:tr>
        <w:tc>
          <w:p>
            <w:pPr>
              <w:pStyle w:val="Compact"/>
              <w:jc w:val="left"/>
            </w:pPr>
            <w:r>
              <w:t xml:space="preserve">MIL-125</w:t>
            </w:r>
          </w:p>
        </w:tc>
        <w:tc>
          <w:p>
            <w:pPr>
              <w:pStyle w:val="Compact"/>
              <w:jc w:val="left"/>
            </w:pPr>
            <w:hyperlink w:anchor="X5a42dda82a02cd4d998f377e073e21f128c2795">
              <w:r>
                <w:rPr>
                  <w:rStyle w:val="Hyperlink"/>
                </w:rPr>
                <w:t xml:space="preserve">[65]</w:t>
              </w:r>
            </w:hyperlink>
          </w:p>
        </w:tc>
        <w:tc>
          <w:p>
            <w:pPr>
              <w:pStyle w:val="Compact"/>
              <w:jc w:val="left"/>
            </w:pPr>
            <w:r>
              <w:t xml:space="preserve">Ni-BPM</w:t>
            </w:r>
            <w:r>
              <w:rPr>
                <w:vertAlign w:val="superscript"/>
              </w:rPr>
              <w:t xml:space="preserve">[6]</w:t>
            </w:r>
          </w:p>
        </w:tc>
        <w:tc>
          <w:p>
            <w:pPr>
              <w:pStyle w:val="Compact"/>
              <w:jc w:val="left"/>
            </w:pPr>
            <w:hyperlink w:anchor="X9fe639d57ecdb27bd24301df2ffa322c358975f">
              <w:r>
                <w:rPr>
                  <w:rStyle w:val="Hyperlink"/>
                </w:rPr>
                <w:t xml:space="preserve">[73]</w:t>
              </w:r>
            </w:hyperlink>
          </w:p>
        </w:tc>
      </w:tr>
      <w:tr>
        <w:tc>
          <w:p>
            <w:pPr>
              <w:pStyle w:val="Compact"/>
              <w:jc w:val="left"/>
            </w:pPr>
            <w:r>
              <w:t xml:space="preserve">MOF-808-acetate</w:t>
            </w:r>
          </w:p>
        </w:tc>
        <w:tc>
          <w:p>
            <w:pPr>
              <w:pStyle w:val="Compact"/>
              <w:jc w:val="left"/>
            </w:pPr>
            <w:hyperlink w:anchor="X5a42dda82a02cd4d998f377e073e21f128c2795">
              <w:r>
                <w:rPr>
                  <w:rStyle w:val="Hyperlink"/>
                </w:rPr>
                <w:t xml:space="preserve">[65]</w:t>
              </w:r>
            </w:hyperlink>
          </w:p>
        </w:tc>
        <w:tc>
          <w:p>
            <w:pPr>
              <w:pStyle w:val="Compact"/>
              <w:jc w:val="left"/>
            </w:pPr>
            <w:r>
              <w:t xml:space="preserve">Ni-BPP</w:t>
            </w:r>
            <w:r>
              <w:rPr>
                <w:vertAlign w:val="superscript"/>
              </w:rPr>
              <w:t xml:space="preserve">[7]</w:t>
            </w:r>
          </w:p>
        </w:tc>
        <w:tc>
          <w:p>
            <w:pPr>
              <w:pStyle w:val="Compact"/>
              <w:jc w:val="left"/>
            </w:pPr>
            <w:hyperlink w:anchor="X9fe639d57ecdb27bd24301df2ffa322c358975f">
              <w:r>
                <w:rPr>
                  <w:rStyle w:val="Hyperlink"/>
                </w:rPr>
                <w:t xml:space="preserve">[73]</w:t>
              </w:r>
            </w:hyperlink>
          </w:p>
        </w:tc>
      </w:tr>
      <w:tr>
        <w:tc>
          <w:p>
            <w:pPr>
              <w:pStyle w:val="Compact"/>
              <w:jc w:val="left"/>
            </w:pPr>
            <w:r>
              <w:t xml:space="preserve">MOF-808-formate</w:t>
            </w:r>
          </w:p>
        </w:tc>
        <w:tc>
          <w:p>
            <w:pPr>
              <w:pStyle w:val="Compact"/>
              <w:jc w:val="left"/>
            </w:pPr>
            <w:hyperlink w:anchor="X5a42dda82a02cd4d998f377e073e21f128c2795">
              <w:r>
                <w:rPr>
                  <w:rStyle w:val="Hyperlink"/>
                </w:rPr>
                <w:t xml:space="preserve">[65]</w:t>
              </w:r>
            </w:hyperlink>
          </w:p>
        </w:tc>
        <w:tc>
          <w:p>
            <w:pPr>
              <w:pStyle w:val="Compact"/>
              <w:jc w:val="left"/>
            </w:pPr>
            <w:r>
              <w:t xml:space="preserve">Ni-TPM</w:t>
            </w:r>
            <w:r>
              <w:rPr>
                <w:vertAlign w:val="superscript"/>
              </w:rPr>
              <w:t xml:space="preserve">[8]</w:t>
            </w:r>
          </w:p>
        </w:tc>
        <w:tc>
          <w:p>
            <w:pPr>
              <w:pStyle w:val="Compact"/>
              <w:jc w:val="left"/>
            </w:pPr>
            <w:hyperlink w:anchor="X9fe639d57ecdb27bd24301df2ffa322c358975f">
              <w:r>
                <w:rPr>
                  <w:rStyle w:val="Hyperlink"/>
                </w:rPr>
                <w:t xml:space="preserve">[73]</w:t>
              </w:r>
            </w:hyperlink>
          </w:p>
        </w:tc>
      </w:tr>
      <w:tr>
        <w:tc>
          <w:p>
            <w:pPr>
              <w:pStyle w:val="Compact"/>
              <w:jc w:val="left"/>
            </w:pPr>
            <w:r>
              <w:t xml:space="preserve">NU</w:t>
            </w:r>
            <w:r>
              <w:rPr>
                <w:vertAlign w:val="superscript"/>
              </w:rPr>
              <w:t xml:space="preserve">[1]</w:t>
            </w:r>
            <w:r>
              <w:t xml:space="preserve">-1000</w:t>
            </w:r>
          </w:p>
        </w:tc>
        <w:tc>
          <w:p>
            <w:pPr>
              <w:pStyle w:val="Compact"/>
              <w:jc w:val="left"/>
            </w:pPr>
            <w:hyperlink w:anchor="X5a42dda82a02cd4d998f377e073e21f128c2795">
              <w:r>
                <w:rPr>
                  <w:rStyle w:val="Hyperlink"/>
                </w:rPr>
                <w:t xml:space="preserve">[65]</w:t>
              </w:r>
            </w:hyperlink>
          </w:p>
        </w:tc>
        <w:tc>
          <w:p>
            <w:pPr>
              <w:pStyle w:val="Compact"/>
              <w:jc w:val="left"/>
            </w:pPr>
            <w:r>
              <w:t xml:space="preserve">Ni-TPP</w:t>
            </w:r>
            <w:r>
              <w:rPr>
                <w:vertAlign w:val="superscript"/>
              </w:rPr>
              <w:t xml:space="preserve">[9]</w:t>
            </w:r>
          </w:p>
        </w:tc>
        <w:tc>
          <w:p>
            <w:pPr>
              <w:pStyle w:val="Compact"/>
              <w:jc w:val="left"/>
            </w:pPr>
            <w:hyperlink w:anchor="X9fe639d57ecdb27bd24301df2ffa322c358975f">
              <w:r>
                <w:rPr>
                  <w:rStyle w:val="Hyperlink"/>
                </w:rPr>
                <w:t xml:space="preserve">[73]</w:t>
              </w:r>
            </w:hyperlink>
          </w:p>
        </w:tc>
      </w:tr>
      <w:tr>
        <w:tc>
          <w:p>
            <w:pPr>
              <w:pStyle w:val="Compact"/>
              <w:jc w:val="left"/>
            </w:pPr>
            <w:r>
              <w:t xml:space="preserve">UiO</w:t>
            </w:r>
            <w:r>
              <w:rPr>
                <w:vertAlign w:val="superscript"/>
              </w:rPr>
              <w:t xml:space="preserve">[2]</w:t>
            </w:r>
            <w:r>
              <w:t xml:space="preserve">-68</w:t>
            </w:r>
          </w:p>
        </w:tc>
        <w:tc>
          <w:p>
            <w:pPr>
              <w:pStyle w:val="Compact"/>
              <w:jc w:val="left"/>
            </w:pPr>
            <w:hyperlink w:anchor="X5a42dda82a02cd4d998f377e073e21f128c2795">
              <w:r>
                <w:rPr>
                  <w:rStyle w:val="Hyperlink"/>
                </w:rPr>
                <w:t xml:space="preserve">[65]</w:t>
              </w:r>
            </w:hyperlink>
          </w:p>
        </w:tc>
        <w:tc>
          <w:p>
            <w:pPr>
              <w:pStyle w:val="Compact"/>
              <w:jc w:val="left"/>
            </w:pPr>
            <w:r>
              <w:t xml:space="preserve">Ni-MOF-74</w:t>
            </w:r>
          </w:p>
        </w:tc>
        <w:tc>
          <w:p>
            <w:pPr>
              <w:pStyle w:val="Compact"/>
              <w:jc w:val="left"/>
            </w:pPr>
            <w:hyperlink w:anchor="X9fe639d57ecdb27bd24301df2ffa322c358975f">
              <w:r>
                <w:rPr>
                  <w:rStyle w:val="Hyperlink"/>
                </w:rPr>
                <w:t xml:space="preserve">[73]</w:t>
              </w:r>
            </w:hyperlink>
          </w:p>
        </w:tc>
      </w:tr>
      <w:tr>
        <w:tc>
          <w:p>
            <w:pPr>
              <w:pStyle w:val="Compact"/>
              <w:jc w:val="left"/>
            </w:pPr>
            <w:r>
              <w:t xml:space="preserve">Zr6-AzoBDC</w:t>
            </w:r>
            <w:r>
              <w:rPr>
                <w:vertAlign w:val="superscript"/>
              </w:rPr>
              <w:t xml:space="preserve">[3]</w:t>
            </w:r>
          </w:p>
        </w:tc>
        <w:tc>
          <w:p>
            <w:pPr>
              <w:pStyle w:val="Compact"/>
              <w:jc w:val="left"/>
            </w:pPr>
            <w:hyperlink w:anchor="X5a42dda82a02cd4d998f377e073e21f128c2795">
              <w:r>
                <w:rPr>
                  <w:rStyle w:val="Hyperlink"/>
                </w:rPr>
                <w:t xml:space="preserve">[65]</w:t>
              </w:r>
            </w:hyperlink>
          </w:p>
        </w:tc>
        <w:tc>
          <w:p>
            <w:pPr>
              <w:pStyle w:val="Compact"/>
              <w:jc w:val="left"/>
            </w:pPr>
            <w:r>
              <w:t xml:space="preserve">PCN</w:t>
            </w:r>
            <w:r>
              <w:rPr>
                <w:vertAlign w:val="superscript"/>
              </w:rPr>
              <w:t xml:space="preserve">[10]</w:t>
            </w:r>
            <w:r>
              <w:t xml:space="preserve">-224(Ni)</w:t>
            </w:r>
          </w:p>
        </w:tc>
        <w:tc>
          <w:p>
            <w:pPr>
              <w:pStyle w:val="Compact"/>
              <w:jc w:val="left"/>
            </w:pPr>
            <w:hyperlink w:anchor="X4042ce81dc660a3444a6cb1c83bc07835dfce78">
              <w:r>
                <w:rPr>
                  <w:rStyle w:val="Hyperlink"/>
                </w:rPr>
                <w:t xml:space="preserve">[74]</w:t>
              </w:r>
            </w:hyperlink>
          </w:p>
        </w:tc>
      </w:tr>
      <w:tr>
        <w:tc>
          <w:p>
            <w:pPr>
              <w:pStyle w:val="Compact"/>
              <w:jc w:val="left"/>
            </w:pPr>
            <w:r>
              <w:t xml:space="preserve">[1]NU: Northwestern University; [2]UiO: University of Oslo;</w:t>
            </w:r>
          </w:p>
        </w:tc>
        <w:tc>
          <w:p/>
        </w:tc>
        <w:tc>
          <w:p/>
        </w:tc>
        <w:tc>
          <w:p/>
        </w:tc>
      </w:tr>
      <w:tr>
        <w:tc>
          <w:p>
            <w:pPr>
              <w:pStyle w:val="Compact"/>
              <w:jc w:val="left"/>
            </w:pPr>
            <w:r>
              <w:t xml:space="preserve">[3]AzoBDC: azobenzenedicarboxylate;</w:t>
            </w:r>
          </w:p>
        </w:tc>
        <w:tc>
          <w:p/>
        </w:tc>
        <w:tc>
          <w:p/>
        </w:tc>
        <w:tc>
          <w:p/>
        </w:tc>
      </w:tr>
      <w:tr>
        <w:tc>
          <w:p>
            <w:pPr>
              <w:pStyle w:val="Compact"/>
              <w:jc w:val="left"/>
            </w:pPr>
            <w:r>
              <w:t xml:space="preserve">[4]MIP: material of the Institute of Porous Materials from Paris;</w:t>
            </w:r>
          </w:p>
        </w:tc>
        <w:tc>
          <w:p/>
        </w:tc>
        <w:tc>
          <w:p/>
        </w:tc>
        <w:tc>
          <w:p/>
        </w:tc>
      </w:tr>
      <w:tr>
        <w:tc>
          <w:p>
            <w:pPr>
              <w:pStyle w:val="Compact"/>
              <w:jc w:val="left"/>
            </w:pPr>
            <w:r>
              <w:t xml:space="preserve">[5]IPA: isophatale; [6]BPM: biphenyl-meta;</w:t>
            </w:r>
          </w:p>
        </w:tc>
        <w:tc>
          <w:p/>
        </w:tc>
        <w:tc>
          <w:p/>
        </w:tc>
        <w:tc>
          <w:p/>
        </w:tc>
      </w:tr>
      <w:tr>
        <w:tc>
          <w:p>
            <w:pPr>
              <w:pStyle w:val="Compact"/>
              <w:jc w:val="left"/>
            </w:pPr>
            <w:r>
              <w:t xml:space="preserve">[7]BPP: biphenyl-para; [8]TPM: triphenyl-meta;</w:t>
            </w:r>
          </w:p>
        </w:tc>
        <w:tc>
          <w:p/>
        </w:tc>
        <w:tc>
          <w:p/>
        </w:tc>
        <w:tc>
          <w:p/>
        </w:tc>
      </w:tr>
      <w:tr>
        <w:tc>
          <w:p>
            <w:pPr>
              <w:pStyle w:val="Compact"/>
              <w:jc w:val="left"/>
            </w:pPr>
            <w:r>
              <w:t xml:space="preserve">[9]TPP: triphenyl-para; [10]PCN: Porous coordination network;</w:t>
            </w:r>
          </w:p>
        </w:tc>
        <w:tc>
          <w:p/>
        </w:tc>
        <w:tc>
          <w:p/>
        </w:tc>
        <w:tc>
          <w:p/>
        </w:tc>
      </w:tr>
    </w:tbl>
    <w:bookmarkEnd w:id="52"/>
    <w:p>
      <w:pPr>
        <w:pStyle w:val="CaptionedFigure"/>
      </w:pPr>
      <w:bookmarkStart w:id="54" w:name="fig:d4-screening-geometric"/>
      <w:r>
        <w:drawing>
          <wp:inline>
            <wp:extent cx="6311900" cy="4415258"/>
            <wp:effectExtent b="0" l="0" r="0" t="0"/>
            <wp:docPr descr="Figure 5: Overview of the diversity of the MOF database with PLD &gt; 6 Å in terms of void fractions, accessible surface areas and PLDs. Data points are color coded by PLDs of MOFs. Pore volumes of all structures are represented by size." title="" id="1" name="Picture"/>
            <a:graphic>
              <a:graphicData uri="http://schemas.openxmlformats.org/drawingml/2006/picture">
                <pic:pic>
                  <pic:nvPicPr>
                    <pic:cNvPr descr="figs/dataset_geometric.png" id="0" name="Picture"/>
                    <pic:cNvPicPr>
                      <a:picLocks noChangeArrowheads="1" noChangeAspect="1"/>
                    </pic:cNvPicPr>
                  </pic:nvPicPr>
                  <pic:blipFill>
                    <a:blip r:embed="rId53"/>
                    <a:stretch>
                      <a:fillRect/>
                    </a:stretch>
                  </pic:blipFill>
                  <pic:spPr bwMode="auto">
                    <a:xfrm>
                      <a:off x="0" y="0"/>
                      <a:ext cx="6311900" cy="4415258"/>
                    </a:xfrm>
                    <a:prstGeom prst="rect">
                      <a:avLst/>
                    </a:prstGeom>
                    <a:noFill/>
                    <a:ln w="9525">
                      <a:noFill/>
                      <a:headEnd/>
                      <a:tailEnd/>
                    </a:ln>
                  </pic:spPr>
                </pic:pic>
              </a:graphicData>
            </a:graphic>
          </wp:inline>
        </w:drawing>
      </w:r>
      <w:bookmarkEnd w:id="54"/>
    </w:p>
    <w:p>
      <w:pPr>
        <w:pStyle w:val="ImageCaption"/>
      </w:pPr>
      <w:r>
        <w:t xml:space="preserve">Figure 5: Overview of the diversity of the MOF database with PLD &gt; 6 Å in terms of void fractions,</w:t>
      </w:r>
      <w:r>
        <w:t xml:space="preserve"> </w:t>
      </w:r>
      <w:r>
        <w:t xml:space="preserve">accessible surface areas and PLDs. Data points are color coded by PLDs of MOFs. Pore volumes of all</w:t>
      </w:r>
      <w:r>
        <w:t xml:space="preserve"> </w:t>
      </w:r>
      <w:r>
        <w:t xml:space="preserve">structures are represented by size.</w:t>
      </w:r>
    </w:p>
    <w:p>
      <w:pPr>
        <w:pStyle w:val="CaptionedFigure"/>
      </w:pPr>
      <w:bookmarkStart w:id="56" w:name="fig:d4-screening-hydrophobic"/>
      <w:r>
        <w:drawing>
          <wp:inline>
            <wp:extent cx="6311900" cy="4415258"/>
            <wp:effectExtent b="0" l="0" r="0" t="0"/>
            <wp:docPr descr="Figure 6: Overview of the diversity of the hydrophobic MOFs database in terms of void fraction and accessible surface areas. Data points are color coded by PLDs of MOFs. Pore volumes of all structures are represented by size." title="" id="1" name="Picture"/>
            <a:graphic>
              <a:graphicData uri="http://schemas.openxmlformats.org/drawingml/2006/picture">
                <pic:pic>
                  <pic:nvPicPr>
                    <pic:cNvPr descr="figs/dataset_hydrophobic.png" id="0" name="Picture"/>
                    <pic:cNvPicPr>
                      <a:picLocks noChangeArrowheads="1" noChangeAspect="1"/>
                    </pic:cNvPicPr>
                  </pic:nvPicPr>
                  <pic:blipFill>
                    <a:blip r:embed="rId55"/>
                    <a:stretch>
                      <a:fillRect/>
                    </a:stretch>
                  </pic:blipFill>
                  <pic:spPr bwMode="auto">
                    <a:xfrm>
                      <a:off x="0" y="0"/>
                      <a:ext cx="6311900" cy="4415258"/>
                    </a:xfrm>
                    <a:prstGeom prst="rect">
                      <a:avLst/>
                    </a:prstGeom>
                    <a:noFill/>
                    <a:ln w="9525">
                      <a:noFill/>
                      <a:headEnd/>
                      <a:tailEnd/>
                    </a:ln>
                  </pic:spPr>
                </pic:pic>
              </a:graphicData>
            </a:graphic>
          </wp:inline>
        </w:drawing>
      </w:r>
      <w:bookmarkEnd w:id="56"/>
    </w:p>
    <w:p>
      <w:pPr>
        <w:pStyle w:val="ImageCaption"/>
      </w:pPr>
      <w:r>
        <w:t xml:space="preserve">Figure 6: Overview of the diversity of the hydrophobic MOFs database in terms of void fraction and</w:t>
      </w:r>
      <w:r>
        <w:t xml:space="preserve"> </w:t>
      </w:r>
      <w:r>
        <w:t xml:space="preserve">accessible surface areas. Data points are color coded by PLDs of MOFs. Pore volumes of all</w:t>
      </w:r>
      <w:r>
        <w:t xml:space="preserve"> </w:t>
      </w:r>
      <w:r>
        <w:t xml:space="preserve">structures are represented by size.</w:t>
      </w:r>
    </w:p>
    <w:p>
      <w:pPr>
        <w:pStyle w:val="CaptionedFigure"/>
      </w:pPr>
      <w:bookmarkStart w:id="58" w:name="fig:d4-screening-grav-volum"/>
      <w:r>
        <w:drawing>
          <wp:inline>
            <wp:extent cx="6311900" cy="4832037"/>
            <wp:effectExtent b="0" l="0" r="0" t="0"/>
            <wp:docPr descr="Figure 7: The relation of gravimetric D4 uptake of the 811 hydrophobic MOFs (g g-1) and their pore volumes (cm3 g-1), color coded by void fraction of the MOFs." title="" id="1" name="Picture"/>
            <a:graphic>
              <a:graphicData uri="http://schemas.openxmlformats.org/drawingml/2006/picture">
                <pic:pic>
                  <pic:nvPicPr>
                    <pic:cNvPr descr="figs/dataset_gv.png" id="0" name="Picture"/>
                    <pic:cNvPicPr>
                      <a:picLocks noChangeArrowheads="1" noChangeAspect="1"/>
                    </pic:cNvPicPr>
                  </pic:nvPicPr>
                  <pic:blipFill>
                    <a:blip r:embed="rId57"/>
                    <a:stretch>
                      <a:fillRect/>
                    </a:stretch>
                  </pic:blipFill>
                  <pic:spPr bwMode="auto">
                    <a:xfrm>
                      <a:off x="0" y="0"/>
                      <a:ext cx="6311900" cy="4832037"/>
                    </a:xfrm>
                    <a:prstGeom prst="rect">
                      <a:avLst/>
                    </a:prstGeom>
                    <a:noFill/>
                    <a:ln w="9525">
                      <a:noFill/>
                      <a:headEnd/>
                      <a:tailEnd/>
                    </a:ln>
                  </pic:spPr>
                </pic:pic>
              </a:graphicData>
            </a:graphic>
          </wp:inline>
        </w:drawing>
      </w:r>
      <w:bookmarkEnd w:id="58"/>
    </w:p>
    <w:p>
      <w:pPr>
        <w:pStyle w:val="ImageCaption"/>
      </w:pPr>
      <w:r>
        <w:t xml:space="preserve">Figure 7: The relation of gravimetric D4 uptake of the 811 hydrophobic MOFs (g g</w:t>
      </w:r>
      <w:r>
        <w:rPr>
          <w:vertAlign w:val="superscript"/>
        </w:rPr>
        <w:t xml:space="preserve">-1</w:t>
      </w:r>
      <w:r>
        <w:t xml:space="preserve">) and their pore</w:t>
      </w:r>
      <w:r>
        <w:t xml:space="preserve"> </w:t>
      </w:r>
      <w:r>
        <w:t xml:space="preserve">volumes (cm</w:t>
      </w:r>
      <w:r>
        <w:rPr>
          <w:vertAlign w:val="superscript"/>
        </w:rPr>
        <w:t xml:space="preserve">3</w:t>
      </w:r>
      <w:r>
        <w:t xml:space="preserve"> </w:t>
      </w:r>
      <w:r>
        <w:t xml:space="preserve">g</w:t>
      </w:r>
      <w:r>
        <w:rPr>
          <w:vertAlign w:val="superscript"/>
        </w:rPr>
        <w:t xml:space="preserve">-1</w:t>
      </w:r>
      <w:r>
        <w:t xml:space="preserve">), color coded by void fraction of the MOFs.</w:t>
      </w:r>
    </w:p>
    <w:p>
      <w:pPr>
        <w:pStyle w:val="CaptionedFigure"/>
      </w:pPr>
      <w:bookmarkStart w:id="60" w:name="fig:d4-screening-henryc"/>
      <w:r>
        <w:drawing>
          <wp:inline>
            <wp:extent cx="6311900" cy="4832037"/>
            <wp:effectExtent b="0" l="0" r="0" t="0"/>
            <wp:docPr descr="Figure 8: Predicted D4 uptake performance at 298 K for the hydrophobic MOFs database plotted as a function of their computed Henry constant for water, color coded by void fraction, \phi. Top performing 10 candidates are represented by different symbols in the legend to the right." title="" id="1" name="Picture"/>
            <a:graphic>
              <a:graphicData uri="http://schemas.openxmlformats.org/drawingml/2006/picture">
                <pic:pic>
                  <pic:nvPicPr>
                    <pic:cNvPr descr="figs/dataset_kh.png" id="0" name="Picture"/>
                    <pic:cNvPicPr>
                      <a:picLocks noChangeArrowheads="1" noChangeAspect="1"/>
                    </pic:cNvPicPr>
                  </pic:nvPicPr>
                  <pic:blipFill>
                    <a:blip r:embed="rId59"/>
                    <a:stretch>
                      <a:fillRect/>
                    </a:stretch>
                  </pic:blipFill>
                  <pic:spPr bwMode="auto">
                    <a:xfrm>
                      <a:off x="0" y="0"/>
                      <a:ext cx="6311900" cy="4832037"/>
                    </a:xfrm>
                    <a:prstGeom prst="rect">
                      <a:avLst/>
                    </a:prstGeom>
                    <a:noFill/>
                    <a:ln w="9525">
                      <a:noFill/>
                      <a:headEnd/>
                      <a:tailEnd/>
                    </a:ln>
                  </pic:spPr>
                </pic:pic>
              </a:graphicData>
            </a:graphic>
          </wp:inline>
        </w:drawing>
      </w:r>
      <w:bookmarkEnd w:id="60"/>
    </w:p>
    <w:p>
      <w:pPr>
        <w:pStyle w:val="ImageCaption"/>
      </w:pPr>
      <w:r>
        <w:t xml:space="preserve">Figure 8: Predicted D4 uptake performance at 298 K for the hydrophobic MOFs database plotted as a function</w:t>
      </w:r>
      <w:r>
        <w:t xml:space="preserve"> </w:t>
      </w:r>
      <w:r>
        <w:t xml:space="preserve">of their computed Henry constant for water, color coded by void fraction,</w:t>
      </w:r>
      <w:r>
        <w:t xml:space="preserve"> </w:t>
      </w:r>
      <m:oMath>
        <m:r>
          <m:t>ϕ</m:t>
        </m:r>
      </m:oMath>
      <w:r>
        <w:t xml:space="preserve">. Top performing 10</w:t>
      </w:r>
      <w:r>
        <w:t xml:space="preserve"> </w:t>
      </w:r>
      <w:r>
        <w:t xml:space="preserve">candidates are represented by different symbols in the legend to the right.</w:t>
      </w:r>
    </w:p>
    <w:bookmarkStart w:id="71" w:name="tbl:top-mofs-detail"/>
    <w:p>
      <w:r>
        <w:pict>
          <v:rect style="width:0;height:1.5pt" o:hralign="center" o:hrstd="t" o:hr="t"/>
        </w:pict>
      </w:r>
    </w:p>
    <w:p>
      <w:pPr>
        <w:pStyle w:val="FirstParagraph"/>
      </w:pPr>
      <w:r>
        <w:drawing>
          <wp:inline>
            <wp:extent cx="970880" cy="1079999"/>
            <wp:effectExtent b="0" l="0" r="0" t="0"/>
            <wp:docPr descr="image" title="" id="1" name="Picture"/>
            <a:graphic>
              <a:graphicData uri="http://schemas.openxmlformats.org/drawingml/2006/picture">
                <pic:pic>
                  <pic:nvPicPr>
                    <pic:cNvPr descr="figs/top10/image6.jpeg" id="0" name="Picture"/>
                    <pic:cNvPicPr>
                      <a:picLocks noChangeArrowheads="1" noChangeAspect="1"/>
                    </pic:cNvPicPr>
                  </pic:nvPicPr>
                  <pic:blipFill>
                    <a:blip r:embed="rId61"/>
                    <a:stretch>
                      <a:fillRect/>
                    </a:stretch>
                  </pic:blipFill>
                  <pic:spPr bwMode="auto">
                    <a:xfrm>
                      <a:off x="0" y="0"/>
                      <a:ext cx="970880" cy="1079999"/>
                    </a:xfrm>
                    <a:prstGeom prst="rect">
                      <a:avLst/>
                    </a:prstGeom>
                    <a:noFill/>
                    <a:ln w="9525">
                      <a:noFill/>
                      <a:headEnd/>
                      <a:tailEnd/>
                    </a:ln>
                  </pic:spPr>
                </pic:pic>
              </a:graphicData>
            </a:graphic>
          </wp:inline>
        </w:drawing>
      </w:r>
      <w:r>
        <w:br/>
      </w:r>
      <w:r>
        <w:rPr>
          <w:bCs/>
          <w:b/>
        </w:rPr>
        <w:t xml:space="preserve">Metal site:</w:t>
      </w:r>
      <w:r>
        <w:t xml:space="preserve"> </w:t>
      </w:r>
      <w:r>
        <w:t xml:space="preserve">Zr</w:t>
      </w:r>
      <w:r>
        <w:br/>
      </w:r>
      <w:r>
        <w:rPr>
          <w:bCs/>
          <w:b/>
        </w:rPr>
        <w:t xml:space="preserve">PLD:</w:t>
      </w:r>
      <w:r>
        <w:t xml:space="preserve"> </w:t>
      </w:r>
      <w:r>
        <w:t xml:space="preserve">28.36 Å</w:t>
      </w:r>
      <w:r>
        <w:br/>
      </w:r>
      <w:r>
        <w:rPr>
          <w:bCs/>
          <w:b/>
        </w:rPr>
        <w:t xml:space="preserve">SA:</w:t>
      </w:r>
      <w:r>
        <w:t xml:space="preserve"> </w:t>
      </w:r>
      <w:r>
        <w:t xml:space="preserve">2990 m</w:t>
      </w:r>
      <w:r>
        <w:rPr>
          <w:vertAlign w:val="superscript"/>
        </w:rPr>
        <w:t xml:space="preserve">2</w:t>
      </w:r>
      <w:r>
        <w:t xml:space="preserve">/g</w:t>
      </w:r>
      <w:r>
        <w:br/>
      </w:r>
      <w:r>
        <w:rPr>
          <w:bCs/>
          <w:b/>
        </w:rPr>
        <w:t xml:space="preserve">Density:</w:t>
      </w:r>
      <w:r>
        <w:t xml:space="preserve"> </w:t>
      </w:r>
      <w:r>
        <w:t xml:space="preserve">0.27 g/cm</w:t>
      </w:r>
      <w:r>
        <w:rPr>
          <w:vertAlign w:val="superscript"/>
        </w:rPr>
        <w:t xml:space="preserve">3</w:t>
      </w:r>
      <w:r>
        <w:br/>
      </w:r>
      <w:r>
        <w:rPr>
          <w:bCs/>
          <w:b/>
        </w:rPr>
        <w:t xml:space="preserve">PV:</w:t>
      </w:r>
      <w:r>
        <w:t xml:space="preserve"> </w:t>
      </w:r>
      <w:r>
        <w:t xml:space="preserve">3.31 cm</w:t>
      </w:r>
      <w:r>
        <w:rPr>
          <w:vertAlign w:val="superscript"/>
        </w:rPr>
        <w:t xml:space="preserve">3</w:t>
      </w:r>
      <w:r>
        <w:t xml:space="preserve">/g</w:t>
      </w:r>
      <w:r>
        <w:br/>
      </w:r>
      <m:oMath>
        <m:r>
          <m:t>ϕ</m:t>
        </m:r>
      </m:oMath>
      <w:r>
        <w:rPr>
          <w:bCs/>
          <w:b/>
        </w:rPr>
        <w:t xml:space="preserve">:</w:t>
      </w:r>
      <w:r>
        <w:t xml:space="preserve"> </w:t>
      </w:r>
      <w:r>
        <w:t xml:space="preserve">0.90</w:t>
      </w:r>
      <w:r>
        <w:br/>
      </w:r>
      <w:r>
        <w:rPr>
          <w:bCs/>
          <w:b/>
        </w:rPr>
        <w:t xml:space="preserve">Gravimetric D4 uptake:</w:t>
      </w:r>
      <w:r>
        <w:t xml:space="preserve"> </w:t>
      </w:r>
      <w:r>
        <w:t xml:space="preserve">2.68 g/g</w:t>
      </w:r>
      <w:r>
        <w:br/>
      </w:r>
      <w:r>
        <w:rPr>
          <w:bCs/>
          <w:b/>
        </w:rPr>
        <w:t xml:space="preserve">Volumetric D4 uptake:</w:t>
      </w:r>
      <w:r>
        <w:t xml:space="preserve"> </w:t>
      </w:r>
      <w:r>
        <w:t xml:space="preserve">0.72 g/cm</w:t>
      </w:r>
      <w:r>
        <w:rPr>
          <w:vertAlign w:val="superscript"/>
        </w:rPr>
        <w:t xml:space="preserve">3</w:t>
      </w:r>
    </w:p>
    <w:p>
      <w:pPr>
        <w:pStyle w:val="BodyText"/>
      </w:pPr>
      <w:r>
        <w:drawing>
          <wp:inline>
            <wp:extent cx="1585220" cy="1079999"/>
            <wp:effectExtent b="0" l="0" r="0" t="0"/>
            <wp:docPr descr="image" title="" id="1" name="Picture"/>
            <a:graphic>
              <a:graphicData uri="http://schemas.openxmlformats.org/drawingml/2006/picture">
                <pic:pic>
                  <pic:nvPicPr>
                    <pic:cNvPr descr="figs/top10/image7.jpeg" id="0" name="Picture"/>
                    <pic:cNvPicPr>
                      <a:picLocks noChangeArrowheads="1" noChangeAspect="1"/>
                    </pic:cNvPicPr>
                  </pic:nvPicPr>
                  <pic:blipFill>
                    <a:blip r:embed="rId62"/>
                    <a:stretch>
                      <a:fillRect/>
                    </a:stretch>
                  </pic:blipFill>
                  <pic:spPr bwMode="auto">
                    <a:xfrm>
                      <a:off x="0" y="0"/>
                      <a:ext cx="1585220" cy="1079999"/>
                    </a:xfrm>
                    <a:prstGeom prst="rect">
                      <a:avLst/>
                    </a:prstGeom>
                    <a:noFill/>
                    <a:ln w="9525">
                      <a:noFill/>
                      <a:headEnd/>
                      <a:tailEnd/>
                    </a:ln>
                  </pic:spPr>
                </pic:pic>
              </a:graphicData>
            </a:graphic>
          </wp:inline>
        </w:drawing>
      </w:r>
      <w:r>
        <w:br/>
      </w:r>
      <w:r>
        <w:t xml:space="preserve">4,7-bis(4-carboxylphenyl)-1,3-dimethylbenzimidazium-tetrafluoroborate</w:t>
      </w:r>
      <w:r>
        <w:br/>
      </w:r>
      <w:r>
        <w:rPr>
          <w:bCs/>
          <w:b/>
        </w:rPr>
        <w:t xml:space="preserve">Metal site:</w:t>
      </w:r>
      <w:r>
        <w:t xml:space="preserve"> </w:t>
      </w:r>
      <w:r>
        <w:t xml:space="preserve">Zn</w:t>
      </w:r>
      <w:r>
        <w:br/>
      </w:r>
      <w:r>
        <w:rPr>
          <w:bCs/>
          <w:b/>
        </w:rPr>
        <w:t xml:space="preserve">PLD:</w:t>
      </w:r>
      <w:r>
        <w:t xml:space="preserve"> </w:t>
      </w:r>
      <w:r>
        <w:t xml:space="preserve">14.65 Å</w:t>
      </w:r>
      <w:r>
        <w:br/>
      </w:r>
      <w:r>
        <w:rPr>
          <w:bCs/>
          <w:b/>
        </w:rPr>
        <w:t xml:space="preserve">SA:</w:t>
      </w:r>
      <w:r>
        <w:t xml:space="preserve"> </w:t>
      </w:r>
      <w:r>
        <w:t xml:space="preserve">6200 m</w:t>
      </w:r>
      <w:r>
        <w:rPr>
          <w:vertAlign w:val="superscript"/>
        </w:rPr>
        <w:t xml:space="preserve">2</w:t>
      </w:r>
      <w:r>
        <w:t xml:space="preserve">/g</w:t>
      </w:r>
      <w:r>
        <w:br/>
      </w:r>
      <w:r>
        <w:rPr>
          <w:bCs/>
          <w:b/>
        </w:rPr>
        <w:t xml:space="preserve">Density:</w:t>
      </w:r>
      <w:r>
        <w:t xml:space="preserve"> </w:t>
      </w:r>
      <w:r>
        <w:t xml:space="preserve">0.24 g/cm</w:t>
      </w:r>
      <w:r>
        <w:rPr>
          <w:vertAlign w:val="superscript"/>
        </w:rPr>
        <w:t xml:space="preserve">3</w:t>
      </w:r>
      <w:r>
        <w:br/>
      </w:r>
      <w:r>
        <w:rPr>
          <w:bCs/>
          <w:b/>
        </w:rPr>
        <w:t xml:space="preserve">PV:</w:t>
      </w:r>
      <w:r>
        <w:t xml:space="preserve"> </w:t>
      </w:r>
      <w:r>
        <w:t xml:space="preserve">3.72 cm</w:t>
      </w:r>
      <w:r>
        <w:rPr>
          <w:vertAlign w:val="superscript"/>
        </w:rPr>
        <w:t xml:space="preserve">3</w:t>
      </w:r>
      <w:r>
        <w:t xml:space="preserve">/g</w:t>
      </w:r>
      <w:r>
        <w:br/>
      </w:r>
      <m:oMath>
        <m:r>
          <m:t>ϕ</m:t>
        </m:r>
      </m:oMath>
      <w:r>
        <w:rPr>
          <w:bCs/>
          <w:b/>
        </w:rPr>
        <w:t xml:space="preserve">:</w:t>
      </w:r>
      <w:r>
        <w:t xml:space="preserve"> </w:t>
      </w:r>
      <w:r>
        <w:t xml:space="preserve">0.90</w:t>
      </w:r>
      <w:r>
        <w:br/>
      </w:r>
      <w:r>
        <w:rPr>
          <w:bCs/>
          <w:b/>
        </w:rPr>
        <w:t xml:space="preserve">Gravimetric D4 uptake:</w:t>
      </w:r>
      <w:r>
        <w:t xml:space="preserve"> </w:t>
      </w:r>
      <w:r>
        <w:t xml:space="preserve">2.57 g/g</w:t>
      </w:r>
      <w:r>
        <w:br/>
      </w:r>
      <w:r>
        <w:rPr>
          <w:bCs/>
          <w:b/>
        </w:rPr>
        <w:t xml:space="preserve">Volumetric D4 uptake:</w:t>
      </w:r>
      <w:r>
        <w:t xml:space="preserve"> </w:t>
      </w:r>
      <w:r>
        <w:t xml:space="preserve">0.62 g/cm</w:t>
      </w:r>
      <w:r>
        <w:rPr>
          <w:vertAlign w:val="superscript"/>
        </w:rPr>
        <w:t xml:space="preserve">3</w:t>
      </w:r>
    </w:p>
    <w:p>
      <w:pPr>
        <w:pStyle w:val="BodyText"/>
      </w:pPr>
      <w:r>
        <w:drawing>
          <wp:inline>
            <wp:extent cx="1144918" cy="1079999"/>
            <wp:effectExtent b="0" l="0" r="0" t="0"/>
            <wp:docPr descr="image" title="" id="1" name="Picture"/>
            <a:graphic>
              <a:graphicData uri="http://schemas.openxmlformats.org/drawingml/2006/picture">
                <pic:pic>
                  <pic:nvPicPr>
                    <pic:cNvPr descr="figs/top10/image8.jpeg" id="0" name="Picture"/>
                    <pic:cNvPicPr>
                      <a:picLocks noChangeArrowheads="1" noChangeAspect="1"/>
                    </pic:cNvPicPr>
                  </pic:nvPicPr>
                  <pic:blipFill>
                    <a:blip r:embed="rId63"/>
                    <a:stretch>
                      <a:fillRect/>
                    </a:stretch>
                  </pic:blipFill>
                  <pic:spPr bwMode="auto">
                    <a:xfrm>
                      <a:off x="0" y="0"/>
                      <a:ext cx="1144918" cy="1079999"/>
                    </a:xfrm>
                    <a:prstGeom prst="rect">
                      <a:avLst/>
                    </a:prstGeom>
                    <a:noFill/>
                    <a:ln w="9525">
                      <a:noFill/>
                      <a:headEnd/>
                      <a:tailEnd/>
                    </a:ln>
                  </pic:spPr>
                </pic:pic>
              </a:graphicData>
            </a:graphic>
          </wp:inline>
        </w:drawing>
      </w:r>
      <w:r>
        <w:br/>
      </w:r>
      <w:r>
        <w:rPr>
          <w:bCs/>
          <w:b/>
        </w:rPr>
        <w:t xml:space="preserve">Metal site:</w:t>
      </w:r>
      <w:r>
        <w:t xml:space="preserve"> </w:t>
      </w:r>
      <w:r>
        <w:t xml:space="preserve">Zn</w:t>
      </w:r>
      <w:r>
        <w:br/>
      </w:r>
      <w:r>
        <w:rPr>
          <w:bCs/>
          <w:b/>
        </w:rPr>
        <w:t xml:space="preserve">PLD:</w:t>
      </w:r>
      <w:r>
        <w:t xml:space="preserve"> </w:t>
      </w:r>
      <w:r>
        <w:t xml:space="preserve">12.18 Å</w:t>
      </w:r>
      <w:r>
        <w:br/>
      </w:r>
      <w:r>
        <w:rPr>
          <w:bCs/>
          <w:b/>
        </w:rPr>
        <w:t xml:space="preserve">SA:</w:t>
      </w:r>
      <w:r>
        <w:t xml:space="preserve"> </w:t>
      </w:r>
      <w:r>
        <w:t xml:space="preserve">5700 m</w:t>
      </w:r>
      <w:r>
        <w:rPr>
          <w:vertAlign w:val="superscript"/>
        </w:rPr>
        <w:t xml:space="preserve">2</w:t>
      </w:r>
      <w:r>
        <w:t xml:space="preserve">/g</w:t>
      </w:r>
      <w:r>
        <w:br/>
      </w:r>
      <w:r>
        <w:rPr>
          <w:bCs/>
          <w:b/>
        </w:rPr>
        <w:t xml:space="preserve">Density:</w:t>
      </w:r>
      <w:r>
        <w:t xml:space="preserve"> </w:t>
      </w:r>
      <w:r>
        <w:t xml:space="preserve">0.25 g/cm</w:t>
      </w:r>
      <w:r>
        <w:rPr>
          <w:vertAlign w:val="superscript"/>
        </w:rPr>
        <w:t xml:space="preserve">3</w:t>
      </w:r>
      <w:r>
        <w:br/>
      </w:r>
      <w:r>
        <w:rPr>
          <w:bCs/>
          <w:b/>
        </w:rPr>
        <w:t xml:space="preserve">PV:</w:t>
      </w:r>
      <w:r>
        <w:t xml:space="preserve"> </w:t>
      </w:r>
      <w:r>
        <w:t xml:space="preserve">3.65 cm</w:t>
      </w:r>
      <w:r>
        <w:rPr>
          <w:vertAlign w:val="superscript"/>
        </w:rPr>
        <w:t xml:space="preserve">3</w:t>
      </w:r>
      <w:r>
        <w:t xml:space="preserve">/g</w:t>
      </w:r>
      <w:r>
        <w:br/>
      </w:r>
      <m:oMath>
        <m:r>
          <m:t>ϕ</m:t>
        </m:r>
      </m:oMath>
      <w:r>
        <w:rPr>
          <w:bCs/>
          <w:b/>
        </w:rPr>
        <w:t xml:space="preserve">:</w:t>
      </w:r>
      <w:r>
        <w:t xml:space="preserve"> </w:t>
      </w:r>
      <w:r>
        <w:t xml:space="preserve">0.90</w:t>
      </w:r>
      <w:r>
        <w:br/>
      </w:r>
      <w:r>
        <w:rPr>
          <w:bCs/>
          <w:b/>
        </w:rPr>
        <w:t xml:space="preserve">Gravimetric D4 uptake:</w:t>
      </w:r>
      <w:r>
        <w:t xml:space="preserve"> </w:t>
      </w:r>
      <w:r>
        <w:t xml:space="preserve">2.35 g/g</w:t>
      </w:r>
      <w:r>
        <w:br/>
      </w:r>
      <w:r>
        <w:rPr>
          <w:bCs/>
          <w:b/>
        </w:rPr>
        <w:t xml:space="preserve">Volumetric D4 uptake:</w:t>
      </w:r>
      <w:r>
        <w:t xml:space="preserve"> </w:t>
      </w:r>
      <w:r>
        <w:t xml:space="preserve">0.59 g/cm</w:t>
      </w:r>
      <w:r>
        <w:rPr>
          <w:vertAlign w:val="superscript"/>
        </w:rPr>
        <w:t xml:space="preserve">3</w:t>
      </w:r>
    </w:p>
    <w:p>
      <w:pPr>
        <w:pStyle w:val="BodyText"/>
      </w:pPr>
      <w:r>
        <w:drawing>
          <wp:inline>
            <wp:extent cx="1174796" cy="1079999"/>
            <wp:effectExtent b="0" l="0" r="0" t="0"/>
            <wp:docPr descr="image" title="" id="1" name="Picture"/>
            <a:graphic>
              <a:graphicData uri="http://schemas.openxmlformats.org/drawingml/2006/picture">
                <pic:pic>
                  <pic:nvPicPr>
                    <pic:cNvPr descr="figs/top10/image9.jpeg" id="0" name="Picture"/>
                    <pic:cNvPicPr>
                      <a:picLocks noChangeArrowheads="1" noChangeAspect="1"/>
                    </pic:cNvPicPr>
                  </pic:nvPicPr>
                  <pic:blipFill>
                    <a:blip r:embed="rId64"/>
                    <a:stretch>
                      <a:fillRect/>
                    </a:stretch>
                  </pic:blipFill>
                  <pic:spPr bwMode="auto">
                    <a:xfrm>
                      <a:off x="0" y="0"/>
                      <a:ext cx="1174796" cy="1079999"/>
                    </a:xfrm>
                    <a:prstGeom prst="rect">
                      <a:avLst/>
                    </a:prstGeom>
                    <a:noFill/>
                    <a:ln w="9525">
                      <a:noFill/>
                      <a:headEnd/>
                      <a:tailEnd/>
                    </a:ln>
                  </pic:spPr>
                </pic:pic>
              </a:graphicData>
            </a:graphic>
          </wp:inline>
        </w:drawing>
      </w:r>
      <w:r>
        <w:br/>
      </w:r>
      <w:r>
        <w:rPr>
          <w:bCs/>
          <w:b/>
        </w:rPr>
        <w:t xml:space="preserve">Metal site:</w:t>
      </w:r>
      <w:r>
        <w:t xml:space="preserve"> </w:t>
      </w:r>
      <w:r>
        <w:t xml:space="preserve">Zr</w:t>
      </w:r>
      <w:r>
        <w:br/>
      </w:r>
      <w:r>
        <w:rPr>
          <w:bCs/>
          <w:b/>
        </w:rPr>
        <w:t xml:space="preserve">PLD:</w:t>
      </w:r>
      <w:r>
        <w:t xml:space="preserve"> </w:t>
      </w:r>
      <w:r>
        <w:t xml:space="preserve">10.50 Å</w:t>
      </w:r>
      <w:r>
        <w:br/>
      </w:r>
      <w:r>
        <w:rPr>
          <w:bCs/>
          <w:b/>
        </w:rPr>
        <w:t xml:space="preserve">SA:</w:t>
      </w:r>
      <w:r>
        <w:t xml:space="preserve"> </w:t>
      </w:r>
      <w:r>
        <w:t xml:space="preserve">5500 m</w:t>
      </w:r>
      <w:r>
        <w:rPr>
          <w:vertAlign w:val="superscript"/>
        </w:rPr>
        <w:t xml:space="preserve">2</w:t>
      </w:r>
      <w:r>
        <w:t xml:space="preserve">/g</w:t>
      </w:r>
      <w:r>
        <w:br/>
      </w:r>
      <w:r>
        <w:rPr>
          <w:bCs/>
          <w:b/>
        </w:rPr>
        <w:t xml:space="preserve">Density:</w:t>
      </w:r>
      <w:r>
        <w:t xml:space="preserve"> </w:t>
      </w:r>
      <w:r>
        <w:t xml:space="preserve">0.29 g/cm</w:t>
      </w:r>
      <w:r>
        <w:rPr>
          <w:vertAlign w:val="superscript"/>
        </w:rPr>
        <w:t xml:space="preserve">3</w:t>
      </w:r>
      <w:r>
        <w:br/>
      </w:r>
      <w:r>
        <w:rPr>
          <w:bCs/>
          <w:b/>
        </w:rPr>
        <w:t xml:space="preserve">PV:</w:t>
      </w:r>
      <w:r>
        <w:t xml:space="preserve"> </w:t>
      </w:r>
      <w:r>
        <w:t xml:space="preserve">2.99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2.01 g/g</w:t>
      </w:r>
      <w:r>
        <w:br/>
      </w:r>
      <w:r>
        <w:rPr>
          <w:bCs/>
          <w:b/>
        </w:rPr>
        <w:t xml:space="preserve">Volumetric D4 uptake:</w:t>
      </w:r>
      <w:r>
        <w:t xml:space="preserve"> </w:t>
      </w:r>
      <w:r>
        <w:t xml:space="preserve">0.58 g/cm</w:t>
      </w:r>
      <w:r>
        <w:rPr>
          <w:vertAlign w:val="superscript"/>
        </w:rPr>
        <w:t xml:space="preserve">3</w:t>
      </w:r>
    </w:p>
    <w:p>
      <w:pPr>
        <w:pStyle w:val="BodyText"/>
      </w:pPr>
      <w:r>
        <w:drawing>
          <wp:inline>
            <wp:extent cx="1569261" cy="1079999"/>
            <wp:effectExtent b="0" l="0" r="0" t="0"/>
            <wp:docPr descr="image" title="" id="1" name="Picture"/>
            <a:graphic>
              <a:graphicData uri="http://schemas.openxmlformats.org/drawingml/2006/picture">
                <pic:pic>
                  <pic:nvPicPr>
                    <pic:cNvPr descr="figs/top10/image10.jpeg" id="0" name="Picture"/>
                    <pic:cNvPicPr>
                      <a:picLocks noChangeArrowheads="1" noChangeAspect="1"/>
                    </pic:cNvPicPr>
                  </pic:nvPicPr>
                  <pic:blipFill>
                    <a:blip r:embed="rId65"/>
                    <a:stretch>
                      <a:fillRect/>
                    </a:stretch>
                  </pic:blipFill>
                  <pic:spPr bwMode="auto">
                    <a:xfrm>
                      <a:off x="0" y="0"/>
                      <a:ext cx="1569261" cy="1079999"/>
                    </a:xfrm>
                    <a:prstGeom prst="rect">
                      <a:avLst/>
                    </a:prstGeom>
                    <a:noFill/>
                    <a:ln w="9525">
                      <a:noFill/>
                      <a:headEnd/>
                      <a:tailEnd/>
                    </a:ln>
                  </pic:spPr>
                </pic:pic>
              </a:graphicData>
            </a:graphic>
          </wp:inline>
        </w:drawing>
      </w:r>
      <w:r>
        <w:br/>
      </w:r>
      <w:r>
        <w:rPr>
          <w:bCs/>
          <w:b/>
        </w:rPr>
        <w:t xml:space="preserve">Metal site:</w:t>
      </w:r>
      <w:r>
        <w:t xml:space="preserve"> </w:t>
      </w:r>
      <w:r>
        <w:t xml:space="preserve">Cu</w:t>
      </w:r>
      <w:r>
        <w:br/>
      </w:r>
      <w:r>
        <w:rPr>
          <w:bCs/>
          <w:b/>
        </w:rPr>
        <w:t xml:space="preserve">PLD:</w:t>
      </w:r>
      <w:r>
        <w:t xml:space="preserve"> </w:t>
      </w:r>
      <w:r>
        <w:t xml:space="preserve">14.89 Å</w:t>
      </w:r>
      <w:r>
        <w:br/>
      </w:r>
      <w:r>
        <w:rPr>
          <w:bCs/>
          <w:b/>
        </w:rPr>
        <w:t xml:space="preserve">SA:</w:t>
      </w:r>
      <w:r>
        <w:t xml:space="preserve"> </w:t>
      </w:r>
      <w:r>
        <w:t xml:space="preserve">5000 m</w:t>
      </w:r>
      <w:r>
        <w:rPr>
          <w:vertAlign w:val="superscript"/>
        </w:rPr>
        <w:t xml:space="preserve">2</w:t>
      </w:r>
      <w:r>
        <w:t xml:space="preserve">/g</w:t>
      </w:r>
      <w:r>
        <w:br/>
      </w:r>
      <w:r>
        <w:rPr>
          <w:bCs/>
          <w:b/>
        </w:rPr>
        <w:t xml:space="preserve">Density:</w:t>
      </w:r>
      <w:r>
        <w:t xml:space="preserve"> </w:t>
      </w:r>
      <w:r>
        <w:t xml:space="preserve">0.32 g/cm</w:t>
      </w:r>
      <w:r>
        <w:rPr>
          <w:vertAlign w:val="superscript"/>
        </w:rPr>
        <w:t xml:space="preserve">3</w:t>
      </w:r>
      <w:r>
        <w:br/>
      </w:r>
      <w:r>
        <w:rPr>
          <w:bCs/>
          <w:b/>
        </w:rPr>
        <w:t xml:space="preserve">PV:</w:t>
      </w:r>
      <w:r>
        <w:t xml:space="preserve"> </w:t>
      </w:r>
      <w:r>
        <w:t xml:space="preserve">2.74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1.97 g/g</w:t>
      </w:r>
      <w:r>
        <w:br/>
      </w:r>
      <w:r>
        <w:rPr>
          <w:bCs/>
          <w:b/>
        </w:rPr>
        <w:t xml:space="preserve">Volumetric D4 uptake:</w:t>
      </w:r>
      <w:r>
        <w:t xml:space="preserve"> </w:t>
      </w:r>
      <w:r>
        <w:t xml:space="preserve">0.63 g/cm</w:t>
      </w:r>
      <w:r>
        <w:rPr>
          <w:vertAlign w:val="superscript"/>
        </w:rPr>
        <w:t xml:space="preserve">3</w:t>
      </w:r>
    </w:p>
    <w:p>
      <w:pPr>
        <w:pStyle w:val="BodyText"/>
      </w:pPr>
      <w:r>
        <w:drawing>
          <wp:inline>
            <wp:extent cx="1205419" cy="1079999"/>
            <wp:effectExtent b="0" l="0" r="0" t="0"/>
            <wp:docPr descr="image" title="" id="1" name="Picture"/>
            <a:graphic>
              <a:graphicData uri="http://schemas.openxmlformats.org/drawingml/2006/picture">
                <pic:pic>
                  <pic:nvPicPr>
                    <pic:cNvPr descr="figs/top10/image11.jpeg" id="0" name="Picture"/>
                    <pic:cNvPicPr>
                      <a:picLocks noChangeArrowheads="1" noChangeAspect="1"/>
                    </pic:cNvPicPr>
                  </pic:nvPicPr>
                  <pic:blipFill>
                    <a:blip r:embed="rId66"/>
                    <a:stretch>
                      <a:fillRect/>
                    </a:stretch>
                  </pic:blipFill>
                  <pic:spPr bwMode="auto">
                    <a:xfrm>
                      <a:off x="0" y="0"/>
                      <a:ext cx="1205419" cy="1079999"/>
                    </a:xfrm>
                    <a:prstGeom prst="rect">
                      <a:avLst/>
                    </a:prstGeom>
                    <a:noFill/>
                    <a:ln w="9525">
                      <a:noFill/>
                      <a:headEnd/>
                      <a:tailEnd/>
                    </a:ln>
                  </pic:spPr>
                </pic:pic>
              </a:graphicData>
            </a:graphic>
          </wp:inline>
        </w:drawing>
      </w:r>
      <w:r>
        <w:br/>
      </w:r>
      <w:r>
        <w:rPr>
          <w:bCs/>
          <w:b/>
        </w:rPr>
        <w:t xml:space="preserve">Metal site:</w:t>
      </w:r>
      <w:r>
        <w:t xml:space="preserve"> </w:t>
      </w:r>
      <w:r>
        <w:t xml:space="preserve">Zn</w:t>
      </w:r>
      <w:r>
        <w:br/>
      </w:r>
      <w:r>
        <w:rPr>
          <w:bCs/>
          <w:b/>
        </w:rPr>
        <w:t xml:space="preserve">PLD:</w:t>
      </w:r>
      <w:r>
        <w:t xml:space="preserve"> </w:t>
      </w:r>
      <w:r>
        <w:t xml:space="preserve">17.58 Å</w:t>
      </w:r>
      <w:r>
        <w:br/>
      </w:r>
      <w:r>
        <w:rPr>
          <w:bCs/>
          <w:b/>
        </w:rPr>
        <w:t xml:space="preserve">SA:</w:t>
      </w:r>
      <w:r>
        <w:t xml:space="preserve"> </w:t>
      </w:r>
      <w:r>
        <w:t xml:space="preserve">3600 m</w:t>
      </w:r>
      <w:r>
        <w:rPr>
          <w:vertAlign w:val="superscript"/>
        </w:rPr>
        <w:t xml:space="preserve">2</w:t>
      </w:r>
      <w:r>
        <w:t xml:space="preserve">/g</w:t>
      </w:r>
      <w:r>
        <w:br/>
      </w:r>
      <w:r>
        <w:rPr>
          <w:bCs/>
          <w:b/>
        </w:rPr>
        <w:t xml:space="preserve">Density:</w:t>
      </w:r>
      <w:r>
        <w:t xml:space="preserve"> </w:t>
      </w:r>
      <w:r>
        <w:t xml:space="preserve">0.33 g/cm</w:t>
      </w:r>
      <w:r>
        <w:rPr>
          <w:vertAlign w:val="superscript"/>
        </w:rPr>
        <w:t xml:space="preserve">3</w:t>
      </w:r>
      <w:r>
        <w:br/>
      </w:r>
      <w:r>
        <w:rPr>
          <w:bCs/>
          <w:b/>
        </w:rPr>
        <w:t xml:space="preserve">PV:</w:t>
      </w:r>
      <w:r>
        <w:t xml:space="preserve"> </w:t>
      </w:r>
      <w:r>
        <w:t xml:space="preserve">2.68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1.97 g/g</w:t>
      </w:r>
      <w:r>
        <w:br/>
      </w:r>
      <w:r>
        <w:rPr>
          <w:bCs/>
          <w:b/>
        </w:rPr>
        <w:t xml:space="preserve">Volumetric D4 uptake:</w:t>
      </w:r>
      <w:r>
        <w:t xml:space="preserve"> </w:t>
      </w:r>
      <w:r>
        <w:t xml:space="preserve">0.65 g/cm</w:t>
      </w:r>
      <w:r>
        <w:rPr>
          <w:vertAlign w:val="superscript"/>
        </w:rPr>
        <w:t xml:space="preserve">3</w:t>
      </w:r>
    </w:p>
    <w:p>
      <w:pPr>
        <w:pStyle w:val="BodyText"/>
      </w:pPr>
      <w:r>
        <w:drawing>
          <wp:inline>
            <wp:extent cx="1658297" cy="1079999"/>
            <wp:effectExtent b="0" l="0" r="0" t="0"/>
            <wp:docPr descr="image" title="" id="1" name="Picture"/>
            <a:graphic>
              <a:graphicData uri="http://schemas.openxmlformats.org/drawingml/2006/picture">
                <pic:pic>
                  <pic:nvPicPr>
                    <pic:cNvPr descr="figs/top10/image12.jpeg" id="0" name="Picture"/>
                    <pic:cNvPicPr>
                      <a:picLocks noChangeArrowheads="1" noChangeAspect="1"/>
                    </pic:cNvPicPr>
                  </pic:nvPicPr>
                  <pic:blipFill>
                    <a:blip r:embed="rId67"/>
                    <a:stretch>
                      <a:fillRect/>
                    </a:stretch>
                  </pic:blipFill>
                  <pic:spPr bwMode="auto">
                    <a:xfrm>
                      <a:off x="0" y="0"/>
                      <a:ext cx="1658297" cy="1079999"/>
                    </a:xfrm>
                    <a:prstGeom prst="rect">
                      <a:avLst/>
                    </a:prstGeom>
                    <a:noFill/>
                    <a:ln w="9525">
                      <a:noFill/>
                      <a:headEnd/>
                      <a:tailEnd/>
                    </a:ln>
                  </pic:spPr>
                </pic:pic>
              </a:graphicData>
            </a:graphic>
          </wp:inline>
        </w:drawing>
      </w:r>
      <w:r>
        <w:br/>
      </w:r>
      <w:r>
        <w:rPr>
          <w:bCs/>
          <w:b/>
        </w:rPr>
        <w:t xml:space="preserve">Metal site:</w:t>
      </w:r>
      <w:r>
        <w:t xml:space="preserve"> </w:t>
      </w:r>
      <w:r>
        <w:t xml:space="preserve">Mg</w:t>
      </w:r>
      <w:r>
        <w:br/>
      </w:r>
      <w:r>
        <w:rPr>
          <w:bCs/>
          <w:b/>
        </w:rPr>
        <w:t xml:space="preserve">PLD:</w:t>
      </w:r>
      <w:r>
        <w:t xml:space="preserve"> </w:t>
      </w:r>
      <w:r>
        <w:t xml:space="preserve">26.59 Å</w:t>
      </w:r>
      <w:r>
        <w:br/>
      </w:r>
      <w:r>
        <w:rPr>
          <w:bCs/>
          <w:b/>
        </w:rPr>
        <w:t xml:space="preserve">SA:</w:t>
      </w:r>
      <w:r>
        <w:t xml:space="preserve"> </w:t>
      </w:r>
      <w:r>
        <w:t xml:space="preserve">5000 m</w:t>
      </w:r>
      <w:r>
        <w:rPr>
          <w:vertAlign w:val="superscript"/>
        </w:rPr>
        <w:t xml:space="preserve">2</w:t>
      </w:r>
      <w:r>
        <w:t xml:space="preserve">/g</w:t>
      </w:r>
      <w:r>
        <w:br/>
      </w:r>
      <w:r>
        <w:rPr>
          <w:bCs/>
          <w:b/>
        </w:rPr>
        <w:t xml:space="preserve">Density:</w:t>
      </w:r>
      <w:r>
        <w:t xml:space="preserve"> </w:t>
      </w:r>
      <w:r>
        <w:t xml:space="preserve">0.28 g/cm</w:t>
      </w:r>
      <w:r>
        <w:rPr>
          <w:vertAlign w:val="superscript"/>
        </w:rPr>
        <w:t xml:space="preserve">3</w:t>
      </w:r>
      <w:r>
        <w:br/>
      </w:r>
      <w:r>
        <w:rPr>
          <w:bCs/>
          <w:b/>
        </w:rPr>
        <w:t xml:space="preserve">PV:</w:t>
      </w:r>
      <w:r>
        <w:t xml:space="preserve"> </w:t>
      </w:r>
      <w:r>
        <w:t xml:space="preserve">3.06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1.93 g/g</w:t>
      </w:r>
      <w:r>
        <w:br/>
      </w:r>
      <w:r>
        <w:rPr>
          <w:bCs/>
          <w:b/>
        </w:rPr>
        <w:t xml:space="preserve">Volumetric D4 uptake:</w:t>
      </w:r>
      <w:r>
        <w:t xml:space="preserve"> </w:t>
      </w:r>
      <w:r>
        <w:t xml:space="preserve">0.54 g/cm</w:t>
      </w:r>
      <w:r>
        <w:rPr>
          <w:vertAlign w:val="superscript"/>
        </w:rPr>
        <w:t xml:space="preserve">3</w:t>
      </w:r>
    </w:p>
    <w:p>
      <w:pPr>
        <w:pStyle w:val="BodyText"/>
      </w:pPr>
      <w:r>
        <w:drawing>
          <wp:inline>
            <wp:extent cx="1099002" cy="1079999"/>
            <wp:effectExtent b="0" l="0" r="0" t="0"/>
            <wp:docPr descr="image" title="" id="1" name="Picture"/>
            <a:graphic>
              <a:graphicData uri="http://schemas.openxmlformats.org/drawingml/2006/picture">
                <pic:pic>
                  <pic:nvPicPr>
                    <pic:cNvPr descr="figs/top10/image13.jpeg" id="0" name="Picture"/>
                    <pic:cNvPicPr>
                      <a:picLocks noChangeArrowheads="1" noChangeAspect="1"/>
                    </pic:cNvPicPr>
                  </pic:nvPicPr>
                  <pic:blipFill>
                    <a:blip r:embed="rId68"/>
                    <a:stretch>
                      <a:fillRect/>
                    </a:stretch>
                  </pic:blipFill>
                  <pic:spPr bwMode="auto">
                    <a:xfrm>
                      <a:off x="0" y="0"/>
                      <a:ext cx="1099002" cy="1079999"/>
                    </a:xfrm>
                    <a:prstGeom prst="rect">
                      <a:avLst/>
                    </a:prstGeom>
                    <a:noFill/>
                    <a:ln w="9525">
                      <a:noFill/>
                      <a:headEnd/>
                      <a:tailEnd/>
                    </a:ln>
                  </pic:spPr>
                </pic:pic>
              </a:graphicData>
            </a:graphic>
          </wp:inline>
        </w:drawing>
      </w:r>
      <w:r>
        <w:br/>
      </w:r>
      <w:r>
        <w:rPr>
          <w:bCs/>
          <w:b/>
        </w:rPr>
        <w:t xml:space="preserve">Metal site:</w:t>
      </w:r>
      <w:r>
        <w:t xml:space="preserve"> </w:t>
      </w:r>
      <w:r>
        <w:t xml:space="preserve">Zn</w:t>
      </w:r>
      <w:r>
        <w:br/>
      </w:r>
      <w:r>
        <w:rPr>
          <w:bCs/>
          <w:b/>
        </w:rPr>
        <w:t xml:space="preserve">PLD:</w:t>
      </w:r>
      <w:r>
        <w:t xml:space="preserve"> </w:t>
      </w:r>
      <w:r>
        <w:t xml:space="preserve">19.25 Å</w:t>
      </w:r>
      <w:r>
        <w:br/>
      </w:r>
      <w:r>
        <w:rPr>
          <w:bCs/>
          <w:b/>
        </w:rPr>
        <w:t xml:space="preserve">SA:</w:t>
      </w:r>
      <w:r>
        <w:t xml:space="preserve"> </w:t>
      </w:r>
      <w:r>
        <w:t xml:space="preserve">4200 m</w:t>
      </w:r>
      <w:r>
        <w:rPr>
          <w:vertAlign w:val="superscript"/>
        </w:rPr>
        <w:t xml:space="preserve">2</w:t>
      </w:r>
      <w:r>
        <w:t xml:space="preserve">/g</w:t>
      </w:r>
      <w:r>
        <w:br/>
      </w:r>
      <w:r>
        <w:rPr>
          <w:bCs/>
          <w:b/>
        </w:rPr>
        <w:t xml:space="preserve">Density:</w:t>
      </w:r>
      <w:r>
        <w:t xml:space="preserve"> </w:t>
      </w:r>
      <w:r>
        <w:t xml:space="preserve">0.30 g/cm</w:t>
      </w:r>
      <w:r>
        <w:rPr>
          <w:vertAlign w:val="superscript"/>
        </w:rPr>
        <w:t xml:space="preserve">3</w:t>
      </w:r>
      <w:r>
        <w:br/>
      </w:r>
      <w:r>
        <w:rPr>
          <w:bCs/>
          <w:b/>
        </w:rPr>
        <w:t xml:space="preserve">PV:</w:t>
      </w:r>
      <w:r>
        <w:t xml:space="preserve"> </w:t>
      </w:r>
      <w:r>
        <w:t xml:space="preserve">2.90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1.93 g/g</w:t>
      </w:r>
      <w:r>
        <w:br/>
      </w:r>
      <w:r>
        <w:rPr>
          <w:bCs/>
          <w:b/>
        </w:rPr>
        <w:t xml:space="preserve">Volumetric D4 uptake:</w:t>
      </w:r>
      <w:r>
        <w:t xml:space="preserve"> </w:t>
      </w:r>
      <w:r>
        <w:t xml:space="preserve">0.58 g/cm</w:t>
      </w:r>
      <w:r>
        <w:rPr>
          <w:vertAlign w:val="superscript"/>
        </w:rPr>
        <w:t xml:space="preserve">3</w:t>
      </w:r>
    </w:p>
    <w:p>
      <w:pPr>
        <w:pStyle w:val="BodyText"/>
      </w:pPr>
      <w:r>
        <w:drawing>
          <wp:inline>
            <wp:extent cx="1377794" cy="1079999"/>
            <wp:effectExtent b="0" l="0" r="0" t="0"/>
            <wp:docPr descr="image" title="" id="1" name="Picture"/>
            <a:graphic>
              <a:graphicData uri="http://schemas.openxmlformats.org/drawingml/2006/picture">
                <pic:pic>
                  <pic:nvPicPr>
                    <pic:cNvPr descr="figs/top10/image14.jpeg" id="0" name="Picture"/>
                    <pic:cNvPicPr>
                      <a:picLocks noChangeArrowheads="1" noChangeAspect="1"/>
                    </pic:cNvPicPr>
                  </pic:nvPicPr>
                  <pic:blipFill>
                    <a:blip r:embed="rId69"/>
                    <a:stretch>
                      <a:fillRect/>
                    </a:stretch>
                  </pic:blipFill>
                  <pic:spPr bwMode="auto">
                    <a:xfrm>
                      <a:off x="0" y="0"/>
                      <a:ext cx="1377794" cy="1079999"/>
                    </a:xfrm>
                    <a:prstGeom prst="rect">
                      <a:avLst/>
                    </a:prstGeom>
                    <a:noFill/>
                    <a:ln w="9525">
                      <a:noFill/>
                      <a:headEnd/>
                      <a:tailEnd/>
                    </a:ln>
                  </pic:spPr>
                </pic:pic>
              </a:graphicData>
            </a:graphic>
          </wp:inline>
        </w:drawing>
      </w:r>
      <w:r>
        <w:br/>
      </w:r>
      <w:r>
        <w:t xml:space="preserve">4,4’,4</w:t>
      </w:r>
      <w:r>
        <w:t xml:space="preserve">“</w:t>
      </w:r>
      <w:r>
        <w:t xml:space="preserve">,4</w:t>
      </w:r>
      <w:r>
        <w:t xml:space="preserve">”</w:t>
      </w:r>
      <w:r>
        <w:t xml:space="preserve">’-((pyrene-1,3,6,8 tetrayltetrakis(benzene-4,1-diyl)) tetrakis(ethyne-2,1 diyl))tetrabenzoate</w:t>
      </w:r>
      <w:r>
        <w:br/>
      </w:r>
      <w:r>
        <w:rPr>
          <w:bCs/>
          <w:b/>
        </w:rPr>
        <w:t xml:space="preserve">Metal site:</w:t>
      </w:r>
      <w:r>
        <w:t xml:space="preserve"> </w:t>
      </w:r>
      <w:r>
        <w:t xml:space="preserve">Zr</w:t>
      </w:r>
      <w:r>
        <w:br/>
      </w:r>
      <w:r>
        <w:rPr>
          <w:bCs/>
          <w:b/>
        </w:rPr>
        <w:t xml:space="preserve">PLD:</w:t>
      </w:r>
      <w:r>
        <w:t xml:space="preserve"> </w:t>
      </w:r>
      <w:r>
        <w:t xml:space="preserve">12.21 Å</w:t>
      </w:r>
      <w:r>
        <w:br/>
      </w:r>
      <w:r>
        <w:rPr>
          <w:bCs/>
          <w:b/>
        </w:rPr>
        <w:t xml:space="preserve">SA:</w:t>
      </w:r>
      <w:r>
        <w:t xml:space="preserve"> </w:t>
      </w:r>
      <w:r>
        <w:t xml:space="preserve">5500 m</w:t>
      </w:r>
      <w:r>
        <w:rPr>
          <w:vertAlign w:val="superscript"/>
        </w:rPr>
        <w:t xml:space="preserve">2</w:t>
      </w:r>
      <w:r>
        <w:t xml:space="preserve">/g</w:t>
      </w:r>
      <w:r>
        <w:br/>
      </w:r>
      <w:r>
        <w:rPr>
          <w:bCs/>
          <w:b/>
        </w:rPr>
        <w:t xml:space="preserve">Density:</w:t>
      </w:r>
      <w:r>
        <w:t xml:space="preserve"> </w:t>
      </w:r>
      <w:r>
        <w:t xml:space="preserve">0.30 g/cm</w:t>
      </w:r>
      <w:r>
        <w:rPr>
          <w:vertAlign w:val="superscript"/>
        </w:rPr>
        <w:t xml:space="preserve">3</w:t>
      </w:r>
      <w:r>
        <w:br/>
      </w:r>
      <w:r>
        <w:rPr>
          <w:bCs/>
          <w:b/>
        </w:rPr>
        <w:t xml:space="preserve">PV:</w:t>
      </w:r>
      <w:r>
        <w:t xml:space="preserve"> </w:t>
      </w:r>
      <w:r>
        <w:t xml:space="preserve">2.91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1.80 g/g</w:t>
      </w:r>
      <w:r>
        <w:br/>
      </w:r>
      <w:r>
        <w:rPr>
          <w:bCs/>
          <w:b/>
        </w:rPr>
        <w:t xml:space="preserve">Volumetric D4 uptake:</w:t>
      </w:r>
      <w:r>
        <w:t xml:space="preserve"> </w:t>
      </w:r>
      <w:r>
        <w:t xml:space="preserve">0.54 g/cm</w:t>
      </w:r>
      <w:r>
        <w:rPr>
          <w:vertAlign w:val="superscript"/>
        </w:rPr>
        <w:t xml:space="preserve">3</w:t>
      </w:r>
    </w:p>
    <w:p>
      <w:pPr>
        <w:pStyle w:val="BodyText"/>
      </w:pPr>
      <w:r>
        <w:drawing>
          <wp:inline>
            <wp:extent cx="2007038" cy="1079999"/>
            <wp:effectExtent b="0" l="0" r="0" t="0"/>
            <wp:docPr descr="image" title="" id="1" name="Picture"/>
            <a:graphic>
              <a:graphicData uri="http://schemas.openxmlformats.org/drawingml/2006/picture">
                <pic:pic>
                  <pic:nvPicPr>
                    <pic:cNvPr descr="figs/top10/image15.jpeg" id="0" name="Picture"/>
                    <pic:cNvPicPr>
                      <a:picLocks noChangeArrowheads="1" noChangeAspect="1"/>
                    </pic:cNvPicPr>
                  </pic:nvPicPr>
                  <pic:blipFill>
                    <a:blip r:embed="rId70"/>
                    <a:stretch>
                      <a:fillRect/>
                    </a:stretch>
                  </pic:blipFill>
                  <pic:spPr bwMode="auto">
                    <a:xfrm>
                      <a:off x="0" y="0"/>
                      <a:ext cx="2007038" cy="1079999"/>
                    </a:xfrm>
                    <a:prstGeom prst="rect">
                      <a:avLst/>
                    </a:prstGeom>
                    <a:noFill/>
                    <a:ln w="9525">
                      <a:noFill/>
                      <a:headEnd/>
                      <a:tailEnd/>
                    </a:ln>
                  </pic:spPr>
                </pic:pic>
              </a:graphicData>
            </a:graphic>
          </wp:inline>
        </w:drawing>
      </w:r>
      <w:r>
        <w:br/>
      </w:r>
      <w:r>
        <w:t xml:space="preserve">5,5’,5</w:t>
      </w:r>
      <w:r>
        <w:t xml:space="preserve">“</w:t>
      </w:r>
      <w:r>
        <w:t xml:space="preserve">-(4,4’,4</w:t>
      </w:r>
      <w:r>
        <w:t xml:space="preserve">”</w:t>
      </w:r>
      <w:r>
        <w:t xml:space="preserve">-[1,3,5-phenyltris(methoxy)] tris-phenylazo) tris-isophthalic acid</w:t>
      </w:r>
      <w:r>
        <w:br/>
      </w:r>
      <w:r>
        <w:rPr>
          <w:bCs/>
          <w:b/>
        </w:rPr>
        <w:t xml:space="preserve">Metal site:</w:t>
      </w:r>
      <w:r>
        <w:t xml:space="preserve"> </w:t>
      </w:r>
      <w:r>
        <w:t xml:space="preserve">Zn</w:t>
      </w:r>
      <w:r>
        <w:br/>
      </w:r>
      <w:r>
        <w:rPr>
          <w:bCs/>
          <w:b/>
        </w:rPr>
        <w:t xml:space="preserve">PLD:</w:t>
      </w:r>
      <w:r>
        <w:t xml:space="preserve"> </w:t>
      </w:r>
      <w:r>
        <w:t xml:space="preserve">10.28 Å</w:t>
      </w:r>
      <w:r>
        <w:br/>
      </w:r>
      <w:r>
        <w:rPr>
          <w:bCs/>
          <w:b/>
        </w:rPr>
        <w:t xml:space="preserve">SA:</w:t>
      </w:r>
      <w:r>
        <w:t xml:space="preserve"> </w:t>
      </w:r>
      <w:r>
        <w:t xml:space="preserve">5130 m</w:t>
      </w:r>
      <w:r>
        <w:rPr>
          <w:vertAlign w:val="superscript"/>
        </w:rPr>
        <w:t xml:space="preserve">2</w:t>
      </w:r>
      <w:r>
        <w:t xml:space="preserve">/g</w:t>
      </w:r>
      <w:r>
        <w:br/>
      </w:r>
      <w:r>
        <w:rPr>
          <w:bCs/>
          <w:b/>
        </w:rPr>
        <w:t xml:space="preserve">Density:</w:t>
      </w:r>
      <w:r>
        <w:t xml:space="preserve"> </w:t>
      </w:r>
      <w:r>
        <w:t xml:space="preserve">0.34 g/cm</w:t>
      </w:r>
      <w:r>
        <w:rPr>
          <w:vertAlign w:val="superscript"/>
        </w:rPr>
        <w:t xml:space="preserve">3</w:t>
      </w:r>
      <w:r>
        <w:br/>
      </w:r>
      <w:r>
        <w:rPr>
          <w:bCs/>
          <w:b/>
        </w:rPr>
        <w:t xml:space="preserve">PV:</w:t>
      </w:r>
      <w:r>
        <w:t xml:space="preserve"> </w:t>
      </w:r>
      <w:r>
        <w:t xml:space="preserve">2.57 cm</w:t>
      </w:r>
      <w:r>
        <w:rPr>
          <w:vertAlign w:val="superscript"/>
        </w:rPr>
        <w:t xml:space="preserve">3</w:t>
      </w:r>
      <w:r>
        <w:t xml:space="preserve">/g</w:t>
      </w:r>
      <w:r>
        <w:br/>
      </w:r>
      <m:oMath>
        <m:r>
          <m:t>ϕ</m:t>
        </m:r>
      </m:oMath>
      <w:r>
        <w:rPr>
          <w:bCs/>
          <w:b/>
        </w:rPr>
        <w:t xml:space="preserve">:</w:t>
      </w:r>
      <w:r>
        <w:t xml:space="preserve"> </w:t>
      </w:r>
      <w:r>
        <w:t xml:space="preserve">0.87</w:t>
      </w:r>
      <w:r>
        <w:br/>
      </w:r>
      <w:r>
        <w:rPr>
          <w:bCs/>
          <w:b/>
        </w:rPr>
        <w:t xml:space="preserve">Gravimetric D4 uptake:</w:t>
      </w:r>
      <w:r>
        <w:t xml:space="preserve"> </w:t>
      </w:r>
      <w:r>
        <w:t xml:space="preserve">1.68 g/g</w:t>
      </w:r>
      <w:r>
        <w:br/>
      </w:r>
      <w:r>
        <w:rPr>
          <w:bCs/>
          <w:b/>
        </w:rPr>
        <w:t xml:space="preserve">Volumetric D4 uptake:</w:t>
      </w:r>
      <w:r>
        <w:t xml:space="preserve"> </w:t>
      </w:r>
      <w:r>
        <w:t xml:space="preserve">0.57 g/cm</w:t>
      </w:r>
      <w:r>
        <w:rPr>
          <w:vertAlign w:val="superscript"/>
        </w:rPr>
        <w:t xml:space="preserve">3</w:t>
      </w:r>
      <w:r>
        <w:br/>
      </w:r>
      <w:r>
        <w:t xml:space="preserve">——————————————————————————————————— –</w:t>
      </w:r>
    </w:p>
    <w:p>
      <w:pPr>
        <w:pStyle w:val="BodyText"/>
      </w:pPr>
      <w:r>
        <w:t xml:space="preserve">: Structural details of the top promising 10 hydrophobic materials which exhibit the highest D4</w:t>
      </w:r>
      <w:r>
        <w:t xml:space="preserve"> </w:t>
      </w:r>
      <w:r>
        <w:t xml:space="preserve">uptake.</w:t>
      </w:r>
    </w:p>
    <w:bookmarkEnd w:id="71"/>
    <w:bookmarkEnd w:id="72"/>
    <w:bookmarkStart w:id="75" w:name="si-radial-distribution"/>
    <w:p>
      <w:pPr>
        <w:pStyle w:val="Heading3"/>
      </w:pPr>
      <w:r>
        <w:t xml:space="preserve">Radial distribution functions for D4-PCN-777</w:t>
      </w:r>
    </w:p>
    <w:p>
      <w:pPr>
        <w:pStyle w:val="CaptionedFigure"/>
      </w:pPr>
      <w:bookmarkStart w:id="74" w:name="fig:d4-rdf"/>
      <w:r>
        <w:drawing>
          <wp:inline>
            <wp:extent cx="6311900" cy="2230521"/>
            <wp:effectExtent b="0" l="0" r="0" t="0"/>
            <wp:docPr descr="Figure 9: All-atom averaged radial distribution functions between (a) H atom from {CH3} group of D4 molecules and H atom from coordinated water of the framework at 10% total loading and (b) H atom from {CH3} groups of D4 at 100% loading." title="" id="1" name="Picture"/>
            <a:graphic>
              <a:graphicData uri="http://schemas.openxmlformats.org/drawingml/2006/picture">
                <pic:pic>
                  <pic:nvPicPr>
                    <pic:cNvPr descr="figs/d4-rdf.png" id="0" name="Picture"/>
                    <pic:cNvPicPr>
                      <a:picLocks noChangeArrowheads="1" noChangeAspect="1"/>
                    </pic:cNvPicPr>
                  </pic:nvPicPr>
                  <pic:blipFill>
                    <a:blip r:embed="rId73"/>
                    <a:stretch>
                      <a:fillRect/>
                    </a:stretch>
                  </pic:blipFill>
                  <pic:spPr bwMode="auto">
                    <a:xfrm>
                      <a:off x="0" y="0"/>
                      <a:ext cx="6311900" cy="2230521"/>
                    </a:xfrm>
                    <a:prstGeom prst="rect">
                      <a:avLst/>
                    </a:prstGeom>
                    <a:noFill/>
                    <a:ln w="9525">
                      <a:noFill/>
                      <a:headEnd/>
                      <a:tailEnd/>
                    </a:ln>
                  </pic:spPr>
                </pic:pic>
              </a:graphicData>
            </a:graphic>
          </wp:inline>
        </w:drawing>
      </w:r>
      <w:bookmarkEnd w:id="74"/>
    </w:p>
    <w:p>
      <w:pPr>
        <w:pStyle w:val="ImageCaption"/>
      </w:pPr>
      <w:r>
        <w:t xml:space="preserve">Figure 9: All-atom averaged radial distribution functions between (a) H atom from</w:t>
      </w:r>
      <w:r>
        <w:t xml:space="preserve"> </w:t>
      </w:r>
      <m:oMath>
        <m:r>
          <m:t>C</m:t>
        </m:r>
        <m:r>
          <m:t>H</m:t>
        </m:r>
        <m:r>
          <m:t>3</m:t>
        </m:r>
      </m:oMath>
      <w:r>
        <w:t xml:space="preserve"> </w:t>
      </w:r>
      <w:r>
        <w:t xml:space="preserve">group of D4</w:t>
      </w:r>
      <w:r>
        <w:t xml:space="preserve"> </w:t>
      </w:r>
      <w:r>
        <w:t xml:space="preserve">molecules and H atom from coordinated water of the framework at 10% total loading and (b) H atom</w:t>
      </w:r>
      <w:r>
        <w:t xml:space="preserve"> </w:t>
      </w:r>
      <w:r>
        <w:t xml:space="preserve">from</w:t>
      </w:r>
      <w:r>
        <w:t xml:space="preserve"> </w:t>
      </w:r>
      <m:oMath>
        <m:r>
          <m:t>C</m:t>
        </m:r>
        <m:r>
          <m:t>H</m:t>
        </m:r>
        <m:r>
          <m:t>3</m:t>
        </m:r>
      </m:oMath>
      <w:r>
        <w:t xml:space="preserve"> </w:t>
      </w:r>
      <w:r>
        <w:t xml:space="preserve">groups of D4 at 100% loading.</w:t>
      </w:r>
    </w:p>
    <w:bookmarkEnd w:id="75"/>
    <w:bookmarkEnd w:id="76"/>
    <w:bookmarkStart w:id="88" w:name="mof-samples"/>
    <w:p>
      <w:pPr>
        <w:pStyle w:val="Heading2"/>
      </w:pPr>
      <w:r>
        <w:t xml:space="preserve">MOF samples</w:t>
      </w:r>
    </w:p>
    <w:bookmarkStart w:id="77" w:name="mil-101cr"/>
    <w:p>
      <w:pPr>
        <w:pStyle w:val="Heading3"/>
      </w:pPr>
      <w:r>
        <w:t xml:space="preserve">MIL-101(Cr)</w:t>
      </w:r>
    </w:p>
    <w:p>
      <w:pPr>
        <w:pStyle w:val="FirstParagraph"/>
      </w:pPr>
      <w:r>
        <w:t xml:space="preserve">The benchmark MIL-101(Cr) sample was taken from a previous work</w:t>
      </w:r>
      <w:r>
        <w:t xml:space="preserve"> </w:t>
      </w:r>
      <w:hyperlink w:anchor="ref-pillaiCapturePerformancesHybrid2017">
        <w:r>
          <w:rPr>
            <w:rStyle w:val="Hyperlink"/>
          </w:rPr>
          <w:t xml:space="preserve">[40]</w:t>
        </w:r>
      </w:hyperlink>
      <w:r>
        <w:t xml:space="preserve">, with all textural characteristics as stated in reference.</w:t>
      </w:r>
    </w:p>
    <w:bookmarkEnd w:id="77"/>
    <w:bookmarkStart w:id="80" w:name="dut-4"/>
    <w:p>
      <w:pPr>
        <w:pStyle w:val="Heading3"/>
      </w:pPr>
      <w:r>
        <w:t xml:space="preserve">DUT-4</w:t>
      </w:r>
    </w:p>
    <w:p>
      <w:pPr>
        <w:pStyle w:val="FirstParagraph"/>
      </w:pPr>
      <w:r>
        <w:t xml:space="preserve">DUT-4 was purchased from Materials Center (TU Dresden, Germany).</w:t>
      </w:r>
    </w:p>
    <w:p>
      <w:pPr>
        <w:pStyle w:val="CaptionedFigure"/>
      </w:pPr>
      <w:bookmarkStart w:id="79" w:name="fig:dut4-summary"/>
      <w:r>
        <w:drawing>
          <wp:inline>
            <wp:extent cx="6311900" cy="1687092"/>
            <wp:effectExtent b="0" l="0" r="0" t="0"/>
            <wp:docPr descr="Figure 10: Characterization of the DUT-4 sample, in duplicates as black and blue: (a) PXRD, alongside simulated pattern in red (b) TGA curves and (c) {N2} physisorption isotherms at 77 K." title="" id="1" name="Picture"/>
            <a:graphic>
              <a:graphicData uri="http://schemas.openxmlformats.org/drawingml/2006/picture">
                <pic:pic>
                  <pic:nvPicPr>
                    <pic:cNvPr descr="figs/dut4_summary.png" id="0" name="Picture"/>
                    <pic:cNvPicPr>
                      <a:picLocks noChangeArrowheads="1" noChangeAspect="1"/>
                    </pic:cNvPicPr>
                  </pic:nvPicPr>
                  <pic:blipFill>
                    <a:blip r:embed="rId78"/>
                    <a:stretch>
                      <a:fillRect/>
                    </a:stretch>
                  </pic:blipFill>
                  <pic:spPr bwMode="auto">
                    <a:xfrm>
                      <a:off x="0" y="0"/>
                      <a:ext cx="6311900" cy="1687092"/>
                    </a:xfrm>
                    <a:prstGeom prst="rect">
                      <a:avLst/>
                    </a:prstGeom>
                    <a:noFill/>
                    <a:ln w="9525">
                      <a:noFill/>
                      <a:headEnd/>
                      <a:tailEnd/>
                    </a:ln>
                  </pic:spPr>
                </pic:pic>
              </a:graphicData>
            </a:graphic>
          </wp:inline>
        </w:drawing>
      </w:r>
      <w:bookmarkEnd w:id="79"/>
    </w:p>
    <w:p>
      <w:pPr>
        <w:pStyle w:val="ImageCaption"/>
      </w:pPr>
      <w:r>
        <w:t xml:space="preserve">Figure 10: Characterization of the DUT-4 sample, in duplicates as black and blue: (a) PXRD, alongside</w:t>
      </w:r>
      <w:r>
        <w:t xml:space="preserve"> </w:t>
      </w:r>
      <w:r>
        <w:t xml:space="preserve">simulated pattern in red (b) TGA curves and (c)</w:t>
      </w:r>
      <w:r>
        <w:t xml:space="preserve"> </w:t>
      </w:r>
      <m:oMath>
        <m:r>
          <m:t>N</m:t>
        </m:r>
        <m:r>
          <m:t>2</m:t>
        </m:r>
      </m:oMath>
      <w:r>
        <w:t xml:space="preserve"> </w:t>
      </w:r>
      <w:r>
        <w:t xml:space="preserve">physisorption isotherms at 77 K.</w:t>
      </w:r>
    </w:p>
    <w:bookmarkEnd w:id="80"/>
    <w:bookmarkStart w:id="87" w:name="pcn-777"/>
    <w:p>
      <w:pPr>
        <w:pStyle w:val="Heading3"/>
      </w:pPr>
      <w:r>
        <w:t xml:space="preserve">PCN-777</w:t>
      </w:r>
    </w:p>
    <w:p>
      <w:pPr>
        <w:pStyle w:val="FirstParagraph"/>
      </w:pPr>
      <w:r>
        <w:rPr>
          <w:bCs/>
          <w:b/>
        </w:rPr>
        <w:t xml:space="preserve">Synthesis</w:t>
      </w:r>
    </w:p>
    <w:p>
      <w:pPr>
        <w:pStyle w:val="BodyText"/>
      </w:pPr>
      <w:r>
        <w:t xml:space="preserve">To synthesize the PCN-777,</w:t>
      </w:r>
      <w:r>
        <w:t xml:space="preserve"> </w:t>
      </w:r>
      <m:oMath>
        <m:r>
          <m:t>Z</m:t>
        </m:r>
        <m:r>
          <m:t>r</m:t>
        </m:r>
        <m:r>
          <m:t>O</m:t>
        </m:r>
        <m:r>
          <m:t>C</m:t>
        </m:r>
        <m:r>
          <m:t>l</m:t>
        </m:r>
        <m:r>
          <m:t>2</m:t>
        </m:r>
        <m:r>
          <m:rPr>
            <m:sty m:val="p"/>
          </m:rPr>
          <m:t>*</m:t>
        </m:r>
        <m:r>
          <m:t>8</m:t>
        </m:r>
        <m:r>
          <m:t>H</m:t>
        </m:r>
        <m:r>
          <m:t>2</m:t>
        </m:r>
        <m:r>
          <m:t>O</m:t>
        </m:r>
      </m:oMath>
      <w:r>
        <w:t xml:space="preserve"> </w:t>
      </w:r>
      <w:r>
        <w:t xml:space="preserve">(1.08 g, 3.351 mmol) and</w:t>
      </w:r>
      <w:r>
        <w:t xml:space="preserve"> </w:t>
      </w:r>
      <w:r>
        <w:t xml:space="preserve">4,4’,4’’-s-Triazine-2,4,6-triyl-tribenzoic acid (0.270 g, 0.612 mmol) were put into 36 ml</w:t>
      </w:r>
      <w:r>
        <w:t xml:space="preserve"> </w:t>
      </w:r>
      <w:r>
        <w:t xml:space="preserve">N,N-Diethylformamide (DEF) in a 100 ml Teflon-lined autoclave reactor, alongside an amount of</w:t>
      </w:r>
      <w:r>
        <w:t xml:space="preserve"> </w:t>
      </w:r>
      <w:r>
        <w:t xml:space="preserve">trifluoroacetic acid (1.8 ml) to form a reaction solution. After sonicating the reaction solution at</w:t>
      </w:r>
      <w:r>
        <w:t xml:space="preserve"> </w:t>
      </w:r>
      <w:r>
        <w:t xml:space="preserve">room temperature for 10 min, the reactor was transferred to a convection oven followed by heating at</w:t>
      </w:r>
      <w:r>
        <w:t xml:space="preserve"> </w:t>
      </w:r>
      <w:r>
        <w:t xml:space="preserve">423 K for 12 h. The PCN-777 crystalline solid was recovered by filtration after purification with</w:t>
      </w:r>
      <w:r>
        <w:t xml:space="preserve"> </w:t>
      </w:r>
      <w:r>
        <w:t xml:space="preserve">100 ml N,N-Dimethylformamide (DMF) and acetone for 3 h at room temperature. The collected</w:t>
      </w:r>
      <w:r>
        <w:t xml:space="preserve"> </w:t>
      </w:r>
      <w:r>
        <w:t xml:space="preserve">crystalline solid was dried at 393 K for 12 h.</w:t>
      </w:r>
    </w:p>
    <w:p>
      <w:pPr>
        <w:pStyle w:val="BodyText"/>
      </w:pPr>
      <w:r>
        <w:rPr>
          <w:bCs/>
          <w:b/>
        </w:rPr>
        <w:t xml:space="preserve">Characterisation</w:t>
      </w:r>
    </w:p>
    <w:p>
      <w:pPr>
        <w:pStyle w:val="CaptionedFigure"/>
      </w:pPr>
      <w:bookmarkStart w:id="82" w:name="fig:tga"/>
      <w:r>
        <w:drawing>
          <wp:inline>
            <wp:extent cx="6311900" cy="4828920"/>
            <wp:effectExtent b="0" l="0" r="0" t="0"/>
            <wp:docPr descr="Figure 11: Thermogravimetric curve recorded on as-synthesised PCN-777." title="" id="1" name="Picture"/>
            <a:graphic>
              <a:graphicData uri="http://schemas.openxmlformats.org/drawingml/2006/picture">
                <pic:pic>
                  <pic:nvPicPr>
                    <pic:cNvPr descr="figs/pcn777_tga.png" id="0" name="Picture"/>
                    <pic:cNvPicPr>
                      <a:picLocks noChangeArrowheads="1" noChangeAspect="1"/>
                    </pic:cNvPicPr>
                  </pic:nvPicPr>
                  <pic:blipFill>
                    <a:blip r:embed="rId81"/>
                    <a:stretch>
                      <a:fillRect/>
                    </a:stretch>
                  </pic:blipFill>
                  <pic:spPr bwMode="auto">
                    <a:xfrm>
                      <a:off x="0" y="0"/>
                      <a:ext cx="6311900" cy="4828920"/>
                    </a:xfrm>
                    <a:prstGeom prst="rect">
                      <a:avLst/>
                    </a:prstGeom>
                    <a:noFill/>
                    <a:ln w="9525">
                      <a:noFill/>
                      <a:headEnd/>
                      <a:tailEnd/>
                    </a:ln>
                  </pic:spPr>
                </pic:pic>
              </a:graphicData>
            </a:graphic>
          </wp:inline>
        </w:drawing>
      </w:r>
      <w:bookmarkEnd w:id="82"/>
    </w:p>
    <w:p>
      <w:pPr>
        <w:pStyle w:val="ImageCaption"/>
      </w:pPr>
      <w:r>
        <w:t xml:space="preserve">Figure 11: Thermogravimetric curve recorded on as-synthesised PCN-777.</w:t>
      </w:r>
    </w:p>
    <w:p>
      <w:pPr>
        <w:pStyle w:val="CaptionedFigure"/>
      </w:pPr>
      <w:bookmarkStart w:id="84" w:name="fig:n2-phys"/>
      <w:r>
        <w:drawing>
          <wp:inline>
            <wp:extent cx="5500150" cy="5500150"/>
            <wp:effectExtent b="0" l="0" r="0" t="0"/>
            <wp:docPr descr="Figure 12: Nitrogen sorption isotherms at 77 K for the pristine PCN-777, alongside those measured on samples after D4 and water sorption." title="" id="1" name="Picture"/>
            <a:graphic>
              <a:graphicData uri="http://schemas.openxmlformats.org/drawingml/2006/picture">
                <pic:pic>
                  <pic:nvPicPr>
                    <pic:cNvPr descr="figs/n2-phys.png" id="0" name="Picture"/>
                    <pic:cNvPicPr>
                      <a:picLocks noChangeArrowheads="1" noChangeAspect="1"/>
                    </pic:cNvPicPr>
                  </pic:nvPicPr>
                  <pic:blipFill>
                    <a:blip r:embed="rId83"/>
                    <a:stretch>
                      <a:fillRect/>
                    </a:stretch>
                  </pic:blipFill>
                  <pic:spPr bwMode="auto">
                    <a:xfrm>
                      <a:off x="0" y="0"/>
                      <a:ext cx="5500150" cy="5500150"/>
                    </a:xfrm>
                    <a:prstGeom prst="rect">
                      <a:avLst/>
                    </a:prstGeom>
                    <a:noFill/>
                    <a:ln w="9525">
                      <a:noFill/>
                      <a:headEnd/>
                      <a:tailEnd/>
                    </a:ln>
                  </pic:spPr>
                </pic:pic>
              </a:graphicData>
            </a:graphic>
          </wp:inline>
        </w:drawing>
      </w:r>
      <w:bookmarkEnd w:id="84"/>
    </w:p>
    <w:p>
      <w:pPr>
        <w:pStyle w:val="ImageCaption"/>
      </w:pPr>
      <w:r>
        <w:t xml:space="preserve">Figure 12: Nitrogen sorption isotherms at 77 K for the pristine PCN-777, alongside those measured on samples</w:t>
      </w:r>
      <w:r>
        <w:t xml:space="preserve"> </w:t>
      </w:r>
      <w:r>
        <w:t xml:space="preserve">after D4 and water sorption.</w:t>
      </w:r>
    </w:p>
    <w:p>
      <w:pPr>
        <w:pStyle w:val="CaptionedFigure"/>
      </w:pPr>
      <w:bookmarkStart w:id="86" w:name="fig:n2-analysis"/>
      <w:r>
        <w:drawing>
          <wp:inline>
            <wp:extent cx="6311900" cy="2180128"/>
            <wp:effectExtent b="0" l="0" r="0" t="0"/>
            <wp:docPr descr="Figure 13: BET and Rouquerol plots displaying selection of applicable isotherm points for the pristine PCN-777 isotherm." title="" id="1" name="Picture"/>
            <a:graphic>
              <a:graphicData uri="http://schemas.openxmlformats.org/drawingml/2006/picture">
                <pic:pic>
                  <pic:nvPicPr>
                    <pic:cNvPr descr="figs/n2-analysis.png" id="0" name="Picture"/>
                    <pic:cNvPicPr>
                      <a:picLocks noChangeArrowheads="1" noChangeAspect="1"/>
                    </pic:cNvPicPr>
                  </pic:nvPicPr>
                  <pic:blipFill>
                    <a:blip r:embed="rId85"/>
                    <a:stretch>
                      <a:fillRect/>
                    </a:stretch>
                  </pic:blipFill>
                  <pic:spPr bwMode="auto">
                    <a:xfrm>
                      <a:off x="0" y="0"/>
                      <a:ext cx="6311900" cy="2180128"/>
                    </a:xfrm>
                    <a:prstGeom prst="rect">
                      <a:avLst/>
                    </a:prstGeom>
                    <a:noFill/>
                    <a:ln w="9525">
                      <a:noFill/>
                      <a:headEnd/>
                      <a:tailEnd/>
                    </a:ln>
                  </pic:spPr>
                </pic:pic>
              </a:graphicData>
            </a:graphic>
          </wp:inline>
        </w:drawing>
      </w:r>
      <w:bookmarkEnd w:id="86"/>
    </w:p>
    <w:p>
      <w:pPr>
        <w:pStyle w:val="ImageCaption"/>
      </w:pPr>
      <w:r>
        <w:t xml:space="preserve">Figure 13: BET and Rouquerol plots displaying selection of applicable isotherm points for the pristine</w:t>
      </w:r>
      <w:r>
        <w:t xml:space="preserve"> </w:t>
      </w:r>
      <w:r>
        <w:t xml:space="preserve">PCN-777 isotherm.</w:t>
      </w:r>
    </w:p>
    <w:bookmarkEnd w:id="87"/>
    <w:bookmarkEnd w:id="88"/>
    <w:bookmarkStart w:id="95" w:name="d4-sorption-experiments"/>
    <w:p>
      <w:pPr>
        <w:pStyle w:val="Heading2"/>
      </w:pPr>
      <w:r>
        <w:t xml:space="preserve">D4 sorption experiments</w:t>
      </w:r>
    </w:p>
    <w:bookmarkStart w:id="91" w:name="d4-benchmarking-with-known-mofs"/>
    <w:p>
      <w:pPr>
        <w:pStyle w:val="Heading3"/>
      </w:pPr>
      <w:r>
        <w:t xml:space="preserve">D4 benchmarking with known MOFs</w:t>
      </w:r>
    </w:p>
    <w:p>
      <w:pPr>
        <w:pStyle w:val="FirstParagraph"/>
      </w:pPr>
      <w:r>
        <w:t xml:space="preserve">Isotherms were recorded on benchmark materials MIL-101(Cr) and DUT-4 using the same methodology</w:t>
      </w:r>
      <w:r>
        <w:t xml:space="preserve"> </w:t>
      </w:r>
      <w:r>
        <w:t xml:space="preserve">detailed in the main manuscript.</w:t>
      </w:r>
    </w:p>
    <w:p>
      <w:pPr>
        <w:pStyle w:val="CaptionedFigure"/>
      </w:pPr>
      <w:bookmarkStart w:id="90" w:name="fig:d4-benchmark"/>
      <w:r>
        <w:drawing>
          <wp:inline>
            <wp:extent cx="5500150" cy="5500150"/>
            <wp:effectExtent b="0" l="0" r="0" t="0"/>
            <wp:docPr descr="Figure 14: D4 isotherms recorded on samples of MIL-101(Cr) (red) and DUT-4 (blue), used to validate our computational methodology for predicting total D4 capacity. Note the different desorption behavior (open symbols) of the two materials under secondary vacuum: partial desorption for MIL-101(Cr) and no desorption for DUT-4." title="" id="1" name="Picture"/>
            <a:graphic>
              <a:graphicData uri="http://schemas.openxmlformats.org/drawingml/2006/picture">
                <pic:pic>
                  <pic:nvPicPr>
                    <pic:cNvPr descr="figs/benchmark-d4.png" id="0" name="Picture"/>
                    <pic:cNvPicPr>
                      <a:picLocks noChangeArrowheads="1" noChangeAspect="1"/>
                    </pic:cNvPicPr>
                  </pic:nvPicPr>
                  <pic:blipFill>
                    <a:blip r:embed="rId89"/>
                    <a:stretch>
                      <a:fillRect/>
                    </a:stretch>
                  </pic:blipFill>
                  <pic:spPr bwMode="auto">
                    <a:xfrm>
                      <a:off x="0" y="0"/>
                      <a:ext cx="5500150" cy="5500150"/>
                    </a:xfrm>
                    <a:prstGeom prst="rect">
                      <a:avLst/>
                    </a:prstGeom>
                    <a:noFill/>
                    <a:ln w="9525">
                      <a:noFill/>
                      <a:headEnd/>
                      <a:tailEnd/>
                    </a:ln>
                  </pic:spPr>
                </pic:pic>
              </a:graphicData>
            </a:graphic>
          </wp:inline>
        </w:drawing>
      </w:r>
      <w:bookmarkEnd w:id="90"/>
    </w:p>
    <w:p>
      <w:pPr>
        <w:pStyle w:val="ImageCaption"/>
      </w:pPr>
      <w:r>
        <w:t xml:space="preserve">Figure 14: D4 isotherms recorded on samples of MIL-101(Cr) (red) and DUT-4 (blue), used to validate our</w:t>
      </w:r>
      <w:r>
        <w:t xml:space="preserve"> </w:t>
      </w:r>
      <w:r>
        <w:t xml:space="preserve">computational methodology for predicting total D4 capacity. Note the different desorption behavior</w:t>
      </w:r>
      <w:r>
        <w:t xml:space="preserve"> </w:t>
      </w:r>
      <w:r>
        <w:t xml:space="preserve">(open symbols) of the two materials under secondary vacuum: partial desorption for MIL-101(Cr) and</w:t>
      </w:r>
      <w:r>
        <w:t xml:space="preserve"> </w:t>
      </w:r>
      <w:r>
        <w:t xml:space="preserve">no desorption for DUT-4.</w:t>
      </w:r>
    </w:p>
    <w:bookmarkEnd w:id="91"/>
    <w:bookmarkStart w:id="94" w:name="isosteric-heat-of-sorption-of-d4"/>
    <w:p>
      <w:pPr>
        <w:pStyle w:val="Heading3"/>
      </w:pPr>
      <w:r>
        <w:t xml:space="preserve">Isosteric heat of sorption of D4</w:t>
      </w:r>
    </w:p>
    <w:p>
      <w:pPr>
        <w:pStyle w:val="FirstParagraph"/>
      </w:pPr>
      <w:r>
        <w:t xml:space="preserve">A further isotherm was recorded at 313 K (40 °C) to allow for the calculation of the isosteric heat</w:t>
      </w:r>
      <w:r>
        <w:t xml:space="preserve"> </w:t>
      </w:r>
      <w:r>
        <w:t xml:space="preserve">of adsorption through the Clausius-Clapeyron equation, as depicted in fig. </w:t>
      </w:r>
      <w:hyperlink w:anchor="fig:isosteric-enth">
        <w:r>
          <w:rPr>
            <w:rStyle w:val="Hyperlink"/>
          </w:rPr>
          <w:t xml:space="preserve">15</w:t>
        </w:r>
      </w:hyperlink>
      <w:r>
        <w:t xml:space="preserve">.</w:t>
      </w:r>
    </w:p>
    <w:p>
      <w:pPr>
        <w:pStyle w:val="CaptionedFigure"/>
      </w:pPr>
      <w:bookmarkStart w:id="93" w:name="fig:isosteric-enth"/>
      <w:r>
        <w:drawing>
          <wp:inline>
            <wp:extent cx="6311900" cy="2050189"/>
            <wp:effectExtent b="0" l="0" r="0" t="0"/>
            <wp:docPr descr="Figure 15: D4 sorption isotherms on PCN-777 recorded at 303 K (blue) and at 313 K (green) in an absolute (a) and relative (b) pressure scale. (c) The calculated isosteric heat of adsorption as a function of D4 uptake." title="" id="1" name="Picture"/>
            <a:graphic>
              <a:graphicData uri="http://schemas.openxmlformats.org/drawingml/2006/picture">
                <pic:pic>
                  <pic:nvPicPr>
                    <pic:cNvPr descr="figs/isosteric-enth.png" id="0" name="Picture"/>
                    <pic:cNvPicPr>
                      <a:picLocks noChangeArrowheads="1" noChangeAspect="1"/>
                    </pic:cNvPicPr>
                  </pic:nvPicPr>
                  <pic:blipFill>
                    <a:blip r:embed="rId92"/>
                    <a:stretch>
                      <a:fillRect/>
                    </a:stretch>
                  </pic:blipFill>
                  <pic:spPr bwMode="auto">
                    <a:xfrm>
                      <a:off x="0" y="0"/>
                      <a:ext cx="6311900" cy="2050189"/>
                    </a:xfrm>
                    <a:prstGeom prst="rect">
                      <a:avLst/>
                    </a:prstGeom>
                    <a:noFill/>
                    <a:ln w="9525">
                      <a:noFill/>
                      <a:headEnd/>
                      <a:tailEnd/>
                    </a:ln>
                  </pic:spPr>
                </pic:pic>
              </a:graphicData>
            </a:graphic>
          </wp:inline>
        </w:drawing>
      </w:r>
      <w:bookmarkEnd w:id="93"/>
    </w:p>
    <w:p>
      <w:pPr>
        <w:pStyle w:val="ImageCaption"/>
      </w:pPr>
      <w:r>
        <w:t xml:space="preserve">Figure 15: D4 sorption isotherms on PCN-777 recorded at 303 K (blue) and at 313 K (green) in an absolute (a)</w:t>
      </w:r>
      <w:r>
        <w:t xml:space="preserve"> </w:t>
      </w:r>
      <w:r>
        <w:t xml:space="preserve">and relative (b) pressure scale. (c) The calculated isosteric heat of adsorption as a function of D4</w:t>
      </w:r>
      <w:r>
        <w:t xml:space="preserve"> </w:t>
      </w:r>
      <w:r>
        <w:t xml:space="preserve">uptake.</w:t>
      </w:r>
    </w:p>
    <w:bookmarkEnd w:id="94"/>
    <w:bookmarkEnd w:id="95"/>
    <w:bookmarkStart w:id="219" w:name="references"/>
    <w:p>
      <w:pPr>
        <w:pStyle w:val="Heading2"/>
      </w:pPr>
      <w:r>
        <w:t xml:space="preserve">References</w:t>
      </w:r>
    </w:p>
    <w:bookmarkStart w:id="218" w:name="refs"/>
    <w:bookmarkStart w:id="97" w:name="Xb895b7cd6eb46547d60a99f5840d98f222af371"/>
    <w:p>
      <w:pPr>
        <w:pStyle w:val="Bibliography"/>
      </w:pPr>
      <w:r>
        <w:t xml:space="preserve">[1]</w:t>
      </w:r>
      <w:r>
        <w:t xml:space="preserve"> </w:t>
      </w:r>
      <w:r>
        <w:t xml:space="preserve">	</w:t>
      </w:r>
      <w:r>
        <w:t xml:space="preserve">N. J. Themelis and P. A. Ulloa,</w:t>
      </w:r>
      <w:r>
        <w:t xml:space="preserve"> </w:t>
      </w:r>
      <w:r>
        <w:t xml:space="preserve">“Methane generation in landfills,”</w:t>
      </w:r>
      <w:r>
        <w:t xml:space="preserve"> </w:t>
      </w:r>
      <w:r>
        <w:rPr>
          <w:iCs/>
          <w:i/>
        </w:rPr>
        <w:t xml:space="preserve">Renewable Energy</w:t>
      </w:r>
      <w:r>
        <w:t xml:space="preserve">, vol. 32, no. 7, pp. 1243–1257, Jun. 2007, doi:</w:t>
      </w:r>
      <w:r>
        <w:t xml:space="preserve"> </w:t>
      </w:r>
      <w:hyperlink r:id="rId96">
        <w:r>
          <w:rPr>
            <w:rStyle w:val="Hyperlink"/>
          </w:rPr>
          <w:t xml:space="preserve">10.1016/j.renene.2006.04.020</w:t>
        </w:r>
      </w:hyperlink>
      <w:r>
        <w:t xml:space="preserve">.</w:t>
      </w:r>
    </w:p>
    <w:bookmarkEnd w:id="97"/>
    <w:bookmarkStart w:id="99" w:name="Xdab991720caddf55f8593ec0f9d5ff97ed2a666"/>
    <w:p>
      <w:pPr>
        <w:pStyle w:val="Bibliography"/>
      </w:pPr>
      <w:r>
        <w:t xml:space="preserve">[2]</w:t>
      </w:r>
      <w:r>
        <w:t xml:space="preserve"> </w:t>
      </w:r>
      <w:r>
        <w:t xml:space="preserve">	</w:t>
      </w:r>
      <w:r>
        <w:t xml:space="preserve">Y. Takuwa, T. Matsumoto, K. Oshita, M. Takaoka, S. Morisawa, and N. Takeda,</w:t>
      </w:r>
      <w:r>
        <w:t xml:space="preserve"> </w:t>
      </w:r>
      <w:r>
        <w:t xml:space="preserve">“Characterization of trace constituents in landfill gas and a comparison of sites in</w:t>
      </w:r>
      <w:r>
        <w:t xml:space="preserve"> </w:t>
      </w:r>
      <w:r>
        <w:t xml:space="preserve">Asia</w:t>
      </w:r>
      <w:r>
        <w:t xml:space="preserve">,”</w:t>
      </w:r>
      <w:r>
        <w:t xml:space="preserve"> </w:t>
      </w:r>
      <w:r>
        <w:rPr>
          <w:iCs/>
          <w:i/>
        </w:rPr>
        <w:t xml:space="preserve">J Mater Cycles Waste Manag</w:t>
      </w:r>
      <w:r>
        <w:t xml:space="preserve">, vol. 11, no. 4, pp. 305–311, Dec. 2009, doi:</w:t>
      </w:r>
      <w:r>
        <w:t xml:space="preserve"> </w:t>
      </w:r>
      <w:hyperlink r:id="rId98">
        <w:r>
          <w:rPr>
            <w:rStyle w:val="Hyperlink"/>
          </w:rPr>
          <w:t xml:space="preserve">10.1007/s10163-009-0257-1</w:t>
        </w:r>
      </w:hyperlink>
      <w:r>
        <w:t xml:space="preserve">.</w:t>
      </w:r>
    </w:p>
    <w:bookmarkEnd w:id="99"/>
    <w:bookmarkStart w:id="101" w:name="X5222bf6c37be902c3d76c38becbf40b048f18be"/>
    <w:p>
      <w:pPr>
        <w:pStyle w:val="Bibliography"/>
      </w:pPr>
      <w:r>
        <w:t xml:space="preserve">[3]</w:t>
      </w:r>
      <w:r>
        <w:t xml:space="preserve"> </w:t>
      </w:r>
      <w:r>
        <w:t xml:space="preserve">	</w:t>
      </w:r>
      <w:r>
        <w:t xml:space="preserve">A. Ohannessian, V. Desjardin, V. Chatain, and P. Germain,</w:t>
      </w:r>
      <w:r>
        <w:t xml:space="preserve"> </w:t>
      </w:r>
      <w:r>
        <w:t xml:space="preserve">“Volatile organic silicon compounds: The most undesirable contaminants in biogases,”</w:t>
      </w:r>
      <w:r>
        <w:t xml:space="preserve"> </w:t>
      </w:r>
      <w:r>
        <w:rPr>
          <w:iCs/>
          <w:i/>
        </w:rPr>
        <w:t xml:space="preserve">Water Science and Technology</w:t>
      </w:r>
      <w:r>
        <w:t xml:space="preserve">, vol. 58, no. 9, pp. 1775–1781, Nov. 2008, doi:</w:t>
      </w:r>
      <w:r>
        <w:t xml:space="preserve"> </w:t>
      </w:r>
      <w:hyperlink r:id="rId100">
        <w:r>
          <w:rPr>
            <w:rStyle w:val="Hyperlink"/>
          </w:rPr>
          <w:t xml:space="preserve">10.2166/wst.2008.498</w:t>
        </w:r>
      </w:hyperlink>
      <w:r>
        <w:t xml:space="preserve">.</w:t>
      </w:r>
    </w:p>
    <w:bookmarkEnd w:id="101"/>
    <w:bookmarkStart w:id="103" w:name="ref-wangRecentAdvancesTechnologies2019"/>
    <w:p>
      <w:pPr>
        <w:pStyle w:val="Bibliography"/>
      </w:pPr>
      <w:r>
        <w:t xml:space="preserve">[4]</w:t>
      </w:r>
      <w:r>
        <w:t xml:space="preserve"> </w:t>
      </w:r>
      <w:r>
        <w:t xml:space="preserve">	</w:t>
      </w:r>
      <w:r>
        <w:t xml:space="preserve">G. Wang, Z. Zhang, and Z. Hao,</w:t>
      </w:r>
      <w:r>
        <w:t xml:space="preserve"> </w:t>
      </w:r>
      <w:r>
        <w:t xml:space="preserve">“Recent advances in technologies for the removal of volatile methylsiloxanes:</w:t>
      </w:r>
      <w:r>
        <w:t xml:space="preserve"> </w:t>
      </w:r>
      <w:r>
        <w:t xml:space="preserve">A</w:t>
      </w:r>
      <w:r>
        <w:t xml:space="preserve"> </w:t>
      </w:r>
      <w:r>
        <w:t xml:space="preserve">case in biogas purification process,”</w:t>
      </w:r>
      <w:r>
        <w:t xml:space="preserve"> </w:t>
      </w:r>
      <w:r>
        <w:rPr>
          <w:iCs/>
          <w:i/>
        </w:rPr>
        <w:t xml:space="preserve">Critical Reviews in Environmental Science and Technology</w:t>
      </w:r>
      <w:r>
        <w:t xml:space="preserve">, vol. 49, no. 24, pp. 2257–2313, Dec. 2019, doi:</w:t>
      </w:r>
      <w:r>
        <w:t xml:space="preserve"> </w:t>
      </w:r>
      <w:hyperlink r:id="rId102">
        <w:r>
          <w:rPr>
            <w:rStyle w:val="Hyperlink"/>
          </w:rPr>
          <w:t xml:space="preserve">10.1080/10643389.2019.1607443</w:t>
        </w:r>
      </w:hyperlink>
      <w:r>
        <w:t xml:space="preserve">.</w:t>
      </w:r>
    </w:p>
    <w:bookmarkEnd w:id="103"/>
    <w:bookmarkStart w:id="105" w:name="ref-dewilEnergyUseBiogas2006"/>
    <w:p>
      <w:pPr>
        <w:pStyle w:val="Bibliography"/>
      </w:pPr>
      <w:r>
        <w:t xml:space="preserve">[5]</w:t>
      </w:r>
      <w:r>
        <w:t xml:space="preserve"> </w:t>
      </w:r>
      <w:r>
        <w:t xml:space="preserve">	</w:t>
      </w:r>
      <w:r>
        <w:t xml:space="preserve">R. Dewil, L. Appels, and J. Baeyens,</w:t>
      </w:r>
      <w:r>
        <w:t xml:space="preserve"> </w:t>
      </w:r>
      <w:r>
        <w:t xml:space="preserve">“Energy use of biogas hampered by the presence of siloxanes,”</w:t>
      </w:r>
      <w:r>
        <w:t xml:space="preserve"> </w:t>
      </w:r>
      <w:r>
        <w:rPr>
          <w:iCs/>
          <w:i/>
        </w:rPr>
        <w:t xml:space="preserve">Energy Conversion and Management</w:t>
      </w:r>
      <w:r>
        <w:t xml:space="preserve">, vol. 47, no. 13–14, pp. 1711–1722, Aug. 2006, doi:</w:t>
      </w:r>
      <w:r>
        <w:t xml:space="preserve"> </w:t>
      </w:r>
      <w:hyperlink r:id="rId104">
        <w:r>
          <w:rPr>
            <w:rStyle w:val="Hyperlink"/>
          </w:rPr>
          <w:t xml:space="preserve">10.1016/j.enconman.2005.10.016</w:t>
        </w:r>
      </w:hyperlink>
      <w:r>
        <w:t xml:space="preserve">.</w:t>
      </w:r>
    </w:p>
    <w:bookmarkEnd w:id="105"/>
    <w:bookmarkStart w:id="107" w:name="ref-kuhnRequirementsTechniquesCosts2017"/>
    <w:p>
      <w:pPr>
        <w:pStyle w:val="Bibliography"/>
      </w:pPr>
      <w:r>
        <w:t xml:space="preserve">[6]</w:t>
      </w:r>
      <w:r>
        <w:t xml:space="preserve"> </w:t>
      </w:r>
      <w:r>
        <w:t xml:space="preserve">	</w:t>
      </w:r>
      <w:r>
        <w:t xml:space="preserve">J. N. Kuhn, A. C. Elwell, N. H. Elsayed, and B. Joseph,</w:t>
      </w:r>
      <w:r>
        <w:t xml:space="preserve"> </w:t>
      </w:r>
      <w:r>
        <w:t xml:space="preserve">“Requirements, techniques, and costs for contaminant removal from landfill gas,”</w:t>
      </w:r>
      <w:r>
        <w:t xml:space="preserve"> </w:t>
      </w:r>
      <w:r>
        <w:rPr>
          <w:iCs/>
          <w:i/>
        </w:rPr>
        <w:t xml:space="preserve">Waste Management</w:t>
      </w:r>
      <w:r>
        <w:t xml:space="preserve">, vol. 63, pp. 246–256, May 2017, doi:</w:t>
      </w:r>
      <w:r>
        <w:t xml:space="preserve"> </w:t>
      </w:r>
      <w:hyperlink r:id="rId106">
        <w:r>
          <w:rPr>
            <w:rStyle w:val="Hyperlink"/>
          </w:rPr>
          <w:t xml:space="preserve">10.1016/j.wasman.2017.02.001</w:t>
        </w:r>
      </w:hyperlink>
      <w:r>
        <w:t xml:space="preserve">.</w:t>
      </w:r>
    </w:p>
    <w:bookmarkEnd w:id="107"/>
    <w:bookmarkStart w:id="108" w:name="ref-chinStatisticalAnalysisTrace2020"/>
    <w:p>
      <w:pPr>
        <w:pStyle w:val="Bibliography"/>
      </w:pPr>
      <w:r>
        <w:t xml:space="preserve">[7]</w:t>
      </w:r>
      <w:r>
        <w:t xml:space="preserve"> </w:t>
      </w:r>
      <w:r>
        <w:t xml:space="preserve">	</w:t>
      </w:r>
      <w:r>
        <w:t xml:space="preserve">K. F. Chin</w:t>
      </w:r>
      <w:r>
        <w:t xml:space="preserve"> </w:t>
      </w:r>
      <w:r>
        <w:rPr>
          <w:iCs/>
          <w:i/>
        </w:rPr>
        <w:t xml:space="preserve">et al.</w:t>
      </w:r>
      <w:r>
        <w:t xml:space="preserve">,</w:t>
      </w:r>
      <w:r>
        <w:t xml:space="preserve"> </w:t>
      </w:r>
      <w:r>
        <w:t xml:space="preserve">“Statistical analysis of trace contaminants measured in biogas,”</w:t>
      </w:r>
      <w:r>
        <w:t xml:space="preserve"> </w:t>
      </w:r>
      <w:r>
        <w:rPr>
          <w:iCs/>
          <w:i/>
        </w:rPr>
        <w:t xml:space="preserve">Sci. Total Environ.</w:t>
      </w:r>
      <w:r>
        <w:t xml:space="preserve">, vol. 729, p. 138702, 2020.</w:t>
      </w:r>
    </w:p>
    <w:bookmarkEnd w:id="108"/>
    <w:bookmarkStart w:id="109" w:name="ref-ajharSiloxaneRemovalLandfill2010"/>
    <w:p>
      <w:pPr>
        <w:pStyle w:val="Bibliography"/>
      </w:pPr>
      <w:r>
        <w:t xml:space="preserve">[8]</w:t>
      </w:r>
      <w:r>
        <w:t xml:space="preserve"> </w:t>
      </w:r>
      <w:r>
        <w:t xml:space="preserve">	</w:t>
      </w:r>
      <w:r>
        <w:t xml:space="preserve">M. Ajhar, M. Travesset, S. Yüce, and T. Melin,</w:t>
      </w:r>
      <w:r>
        <w:t xml:space="preserve"> </w:t>
      </w:r>
      <w:r>
        <w:t xml:space="preserve">“Siloxane removal from landfill and digester gas - a technology overview,”</w:t>
      </w:r>
      <w:r>
        <w:t xml:space="preserve"> </w:t>
      </w:r>
      <w:r>
        <w:rPr>
          <w:iCs/>
          <w:i/>
        </w:rPr>
        <w:t xml:space="preserve">Bioresour. Technol.</w:t>
      </w:r>
      <w:r>
        <w:t xml:space="preserve">, vol. 101, no. 9, pp. 2913–2923, 2010.</w:t>
      </w:r>
    </w:p>
    <w:bookmarkEnd w:id="109"/>
    <w:bookmarkStart w:id="110" w:name="Xbc6c8221d370e2ea8cfce6cbafa151b400e899f"/>
    <w:p>
      <w:pPr>
        <w:pStyle w:val="Bibliography"/>
      </w:pPr>
      <w:r>
        <w:t xml:space="preserve">[9]</w:t>
      </w:r>
      <w:r>
        <w:t xml:space="preserve"> </w:t>
      </w:r>
      <w:r>
        <w:t xml:space="preserve">	</w:t>
      </w:r>
      <w:r>
        <w:t xml:space="preserve">E. Finocchio, G. Garuti, M. Baldi, and G. Busca,</w:t>
      </w:r>
      <w:r>
        <w:t xml:space="preserve"> </w:t>
      </w:r>
      <w:r>
        <w:t xml:space="preserve">“Decomposition of hexamethylcyclotrisiloxane over solid oxides,”</w:t>
      </w:r>
      <w:r>
        <w:t xml:space="preserve"> </w:t>
      </w:r>
      <w:r>
        <w:rPr>
          <w:iCs/>
          <w:i/>
        </w:rPr>
        <w:t xml:space="preserve">Chemosphere</w:t>
      </w:r>
      <w:r>
        <w:t xml:space="preserve">, vol. 72, no. 11, pp. 1659–1663, 2008.</w:t>
      </w:r>
    </w:p>
    <w:bookmarkEnd w:id="110"/>
    <w:bookmarkStart w:id="112" w:name="X649bf568904a241bf6c96dcd23147c729eecf0f"/>
    <w:p>
      <w:pPr>
        <w:pStyle w:val="Bibliography"/>
      </w:pPr>
      <w:r>
        <w:t xml:space="preserve">[10]</w:t>
      </w:r>
      <w:r>
        <w:t xml:space="preserve"> </w:t>
      </w:r>
      <w:r>
        <w:t xml:space="preserve">	</w:t>
      </w:r>
      <w:r>
        <w:t xml:space="preserve">T. Montanari</w:t>
      </w:r>
      <w:r>
        <w:t xml:space="preserve"> </w:t>
      </w:r>
      <w:r>
        <w:rPr>
          <w:iCs/>
          <w:i/>
        </w:rPr>
        <w:t xml:space="preserve">et al.</w:t>
      </w:r>
      <w:r>
        <w:t xml:space="preserve">,</w:t>
      </w:r>
      <w:r>
        <w:t xml:space="preserve"> </w:t>
      </w:r>
      <w:r>
        <w:t xml:space="preserve">“Purification of landfill biogases from siloxanes by adsorption:</w:t>
      </w:r>
      <w:r>
        <w:t xml:space="preserve"> </w:t>
      </w:r>
      <w:r>
        <w:t xml:space="preserve">A</w:t>
      </w:r>
      <w:r>
        <w:t xml:space="preserve"> </w:t>
      </w:r>
      <w:r>
        <w:t xml:space="preserve">study of silica and</w:t>
      </w:r>
      <w:r>
        <w:t xml:space="preserve"> </w:t>
      </w:r>
      <w:r>
        <w:t xml:space="preserve">13X</w:t>
      </w:r>
      <w:r>
        <w:t xml:space="preserve"> </w:t>
      </w:r>
      <w:r>
        <w:t xml:space="preserve">zeolite adsorbents on hexamethylcyclotrisiloxane separation,”</w:t>
      </w:r>
      <w:r>
        <w:t xml:space="preserve"> </w:t>
      </w:r>
      <w:r>
        <w:rPr>
          <w:iCs/>
          <w:i/>
        </w:rPr>
        <w:t xml:space="preserve">Chemical Engineering Journal</w:t>
      </w:r>
      <w:r>
        <w:t xml:space="preserve">, vol. 165, no. 3, pp. 859–863, Dec. 2010, doi:</w:t>
      </w:r>
      <w:r>
        <w:t xml:space="preserve"> </w:t>
      </w:r>
      <w:hyperlink r:id="rId111">
        <w:r>
          <w:rPr>
            <w:rStyle w:val="Hyperlink"/>
          </w:rPr>
          <w:t xml:space="preserve">10.1016/j.cej.2010.10.032</w:t>
        </w:r>
      </w:hyperlink>
      <w:r>
        <w:t xml:space="preserve">.</w:t>
      </w:r>
    </w:p>
    <w:bookmarkEnd w:id="112"/>
    <w:bookmarkStart w:id="114" w:name="Xc0c73a3ccc25e1900e09b18357f1c0418d5d787"/>
    <w:p>
      <w:pPr>
        <w:pStyle w:val="Bibliography"/>
      </w:pPr>
      <w:r>
        <w:t xml:space="preserve">[11]</w:t>
      </w:r>
      <w:r>
        <w:t xml:space="preserve"> </w:t>
      </w:r>
      <w:r>
        <w:t xml:space="preserve">	</w:t>
      </w:r>
      <w:r>
        <w:t xml:space="preserve">L. Sigot, G. Ducom, and P. Germain,</w:t>
      </w:r>
      <w:r>
        <w:t xml:space="preserve"> </w:t>
      </w:r>
      <w:r>
        <w:t xml:space="preserve">“Adsorption of octamethylcyclotetrasiloxane (</w:t>
      </w:r>
      <w:r>
        <w:t xml:space="preserve">D4</w:t>
      </w:r>
      <w:r>
        <w:t xml:space="preserve">) on silica gel (</w:t>
      </w:r>
      <w:r>
        <w:t xml:space="preserve">SG</w:t>
      </w:r>
      <w:r>
        <w:t xml:space="preserve">):</w:t>
      </w:r>
      <w:r>
        <w:t xml:space="preserve"> </w:t>
      </w:r>
      <w:r>
        <w:t xml:space="preserve">Retention</w:t>
      </w:r>
      <w:r>
        <w:t xml:space="preserve"> </w:t>
      </w:r>
      <w:r>
        <w:t xml:space="preserve">mechanism,”</w:t>
      </w:r>
      <w:r>
        <w:t xml:space="preserve"> </w:t>
      </w:r>
      <w:r>
        <w:rPr>
          <w:iCs/>
          <w:i/>
        </w:rPr>
        <w:t xml:space="preserve">Microporous and Mesoporous Materials</w:t>
      </w:r>
      <w:r>
        <w:t xml:space="preserve">, vol. 213, pp. 118–124, Sep. 2015, doi:</w:t>
      </w:r>
      <w:r>
        <w:t xml:space="preserve"> </w:t>
      </w:r>
      <w:hyperlink r:id="rId113">
        <w:r>
          <w:rPr>
            <w:rStyle w:val="Hyperlink"/>
          </w:rPr>
          <w:t xml:space="preserve">10.1016/j.micromeso.2015.04.016</w:t>
        </w:r>
      </w:hyperlink>
      <w:r>
        <w:t xml:space="preserve">.</w:t>
      </w:r>
    </w:p>
    <w:bookmarkEnd w:id="114"/>
    <w:bookmarkStart w:id="116" w:name="Xdb1b7ae13ec8c9fa6a1af66ab0aad4754e90862"/>
    <w:p>
      <w:pPr>
        <w:pStyle w:val="Bibliography"/>
      </w:pPr>
      <w:r>
        <w:t xml:space="preserve">[12]</w:t>
      </w:r>
      <w:r>
        <w:t xml:space="preserve"> </w:t>
      </w:r>
      <w:r>
        <w:t xml:space="preserve">	</w:t>
      </w:r>
      <w:r>
        <w:t xml:space="preserve">M. Schweigkofler and R. Niessner,</w:t>
      </w:r>
      <w:r>
        <w:t xml:space="preserve"> </w:t>
      </w:r>
      <w:r>
        <w:t xml:space="preserve">“Removal of siloxanes in biogases,”</w:t>
      </w:r>
      <w:r>
        <w:t xml:space="preserve"> </w:t>
      </w:r>
      <w:r>
        <w:rPr>
          <w:iCs/>
          <w:i/>
        </w:rPr>
        <w:t xml:space="preserve">Journal of Hazardous Materials</w:t>
      </w:r>
      <w:r>
        <w:t xml:space="preserve">, vol. 83, no. 3, pp. 183–196, May 2001, doi:</w:t>
      </w:r>
      <w:r>
        <w:t xml:space="preserve"> </w:t>
      </w:r>
      <w:hyperlink r:id="rId115">
        <w:r>
          <w:rPr>
            <w:rStyle w:val="Hyperlink"/>
          </w:rPr>
          <w:t xml:space="preserve">10.1016/S0304-3894(00)00318-6</w:t>
        </w:r>
      </w:hyperlink>
      <w:r>
        <w:t xml:space="preserve">.</w:t>
      </w:r>
    </w:p>
    <w:bookmarkEnd w:id="116"/>
    <w:bookmarkStart w:id="118" w:name="ref-fereyHybridPorousSolids2008"/>
    <w:p>
      <w:pPr>
        <w:pStyle w:val="Bibliography"/>
      </w:pPr>
      <w:r>
        <w:t xml:space="preserve">[13]</w:t>
      </w:r>
      <w:r>
        <w:t xml:space="preserve"> </w:t>
      </w:r>
      <w:r>
        <w:t xml:space="preserve">	</w:t>
      </w:r>
      <w:r>
        <w:t xml:space="preserve">G. Férey,</w:t>
      </w:r>
      <w:r>
        <w:t xml:space="preserve"> </w:t>
      </w:r>
      <w:r>
        <w:t xml:space="preserve">“Hybrid porous solids: Past, present, future,”</w:t>
      </w:r>
      <w:r>
        <w:t xml:space="preserve"> </w:t>
      </w:r>
      <w:r>
        <w:rPr>
          <w:iCs/>
          <w:i/>
        </w:rPr>
        <w:t xml:space="preserve">Chem. Soc. Rev.</w:t>
      </w:r>
      <w:r>
        <w:t xml:space="preserve">, vol. 37, no. 1, pp. 191–214, 2008, doi:</w:t>
      </w:r>
      <w:r>
        <w:t xml:space="preserve"> </w:t>
      </w:r>
      <w:hyperlink r:id="rId117">
        <w:r>
          <w:rPr>
            <w:rStyle w:val="Hyperlink"/>
          </w:rPr>
          <w:t xml:space="preserve">10.1039/B618320B</w:t>
        </w:r>
      </w:hyperlink>
      <w:r>
        <w:t xml:space="preserve">.</w:t>
      </w:r>
    </w:p>
    <w:bookmarkEnd w:id="118"/>
    <w:bookmarkStart w:id="120" w:name="ref-zhouIntroductionMetalOrganic2012"/>
    <w:p>
      <w:pPr>
        <w:pStyle w:val="Bibliography"/>
      </w:pPr>
      <w:r>
        <w:t xml:space="preserve">[14]</w:t>
      </w:r>
      <w:r>
        <w:t xml:space="preserve"> </w:t>
      </w:r>
      <w:r>
        <w:t xml:space="preserve">	</w:t>
      </w:r>
      <w:r>
        <w:t xml:space="preserve">H.-C. Zhou, J. R. Long, and O. M. Yaghi,</w:t>
      </w:r>
      <w:r>
        <w:t xml:space="preserve"> </w:t>
      </w:r>
      <w:r>
        <w:t xml:space="preserve">“Introduction to</w:t>
      </w:r>
      <w:r>
        <w:t xml:space="preserve"> </w:t>
      </w:r>
      <w:r>
        <w:t xml:space="preserve">Metal</w:t>
      </w:r>
      <w:r>
        <w:t xml:space="preserve">Organic Frameworks</w:t>
      </w:r>
      <w:r>
        <w:t xml:space="preserve">,”</w:t>
      </w:r>
      <w:r>
        <w:t xml:space="preserve"> </w:t>
      </w:r>
      <w:r>
        <w:rPr>
          <w:iCs/>
          <w:i/>
        </w:rPr>
        <w:t xml:space="preserve">Chemical Reviews</w:t>
      </w:r>
      <w:r>
        <w:t xml:space="preserve">, vol. 112, no. 2, pp. 673–674, Feb. 2012, doi:</w:t>
      </w:r>
      <w:r>
        <w:t xml:space="preserve"> </w:t>
      </w:r>
      <w:hyperlink r:id="rId119">
        <w:r>
          <w:rPr>
            <w:rStyle w:val="Hyperlink"/>
          </w:rPr>
          <w:t xml:space="preserve">10.1021/cr300014x</w:t>
        </w:r>
      </w:hyperlink>
      <w:r>
        <w:t xml:space="preserve">.</w:t>
      </w:r>
    </w:p>
    <w:bookmarkEnd w:id="120"/>
    <w:bookmarkStart w:id="122" w:name="X6cfeada7386efbac03b035d793e1957bfa3e2ac"/>
    <w:p>
      <w:pPr>
        <w:pStyle w:val="Bibliography"/>
      </w:pPr>
      <w:r>
        <w:t xml:space="preserve">[15]</w:t>
      </w:r>
      <w:r>
        <w:t xml:space="preserve"> </w:t>
      </w:r>
      <w:r>
        <w:t xml:space="preserve">	</w:t>
      </w:r>
      <w:r>
        <w:t xml:space="preserve">J. D. Evans, V. Bon, I. Senkovska, H.-C. Lee, and S. Kaskel,</w:t>
      </w:r>
      <w:r>
        <w:t xml:space="preserve"> </w:t>
      </w:r>
      <w:r>
        <w:t xml:space="preserve">“Four-dimensional metal-organic frameworks,”</w:t>
      </w:r>
      <w:r>
        <w:t xml:space="preserve"> </w:t>
      </w:r>
      <w:r>
        <w:rPr>
          <w:iCs/>
          <w:i/>
        </w:rPr>
        <w:t xml:space="preserve">Nat Commun</w:t>
      </w:r>
      <w:r>
        <w:t xml:space="preserve">, vol. 11, no. 1, p. 2690, Dec. 2020, doi:</w:t>
      </w:r>
      <w:r>
        <w:t xml:space="preserve"> </w:t>
      </w:r>
      <w:hyperlink r:id="rId121">
        <w:r>
          <w:rPr>
            <w:rStyle w:val="Hyperlink"/>
          </w:rPr>
          <w:t xml:space="preserve">10.1038/s41467-020-16527-8</w:t>
        </w:r>
      </w:hyperlink>
      <w:r>
        <w:t xml:space="preserve">.</w:t>
      </w:r>
    </w:p>
    <w:bookmarkEnd w:id="122"/>
    <w:bookmarkStart w:id="124" w:name="X9da66372b32d359f892a46291215d11a969c634"/>
    <w:p>
      <w:pPr>
        <w:pStyle w:val="Bibliography"/>
      </w:pPr>
      <w:r>
        <w:t xml:space="preserve">[16]</w:t>
      </w:r>
      <w:r>
        <w:t xml:space="preserve"> </w:t>
      </w:r>
      <w:r>
        <w:t xml:space="preserve">	</w:t>
      </w:r>
      <w:r>
        <w:t xml:space="preserve">R. L. Siegelman, P. J. Milner, E. J. Kim, S. C. Weston, and J. R. Long,</w:t>
      </w:r>
      <w:r>
        <w:t xml:space="preserve"> </w:t>
      </w:r>
      <w:r>
        <w:t xml:space="preserve">“Challenges and opportunities for adsorption-based</w:t>
      </w:r>
      <w:r>
        <w:t xml:space="preserve"> </w:t>
      </w:r>
      <w:r>
        <w:t xml:space="preserve">CO</w:t>
      </w:r>
      <w:r>
        <w:t xml:space="preserve"> </w:t>
      </w:r>
      <w:r>
        <w:rPr>
          <w:vertAlign w:val="subscript"/>
        </w:rPr>
        <w:t xml:space="preserve">2</w:t>
      </w:r>
      <w:r>
        <w:t xml:space="preserve"> </w:t>
      </w:r>
      <w:r>
        <w:t xml:space="preserve">capture from natural gas combined cycle emissions,”</w:t>
      </w:r>
      <w:r>
        <w:t xml:space="preserve"> </w:t>
      </w:r>
      <w:r>
        <w:rPr>
          <w:iCs/>
          <w:i/>
        </w:rPr>
        <w:t xml:space="preserve">Energy Environ. Sci.</w:t>
      </w:r>
      <w:r>
        <w:t xml:space="preserve">, vol. 12, no. 7, pp. 2161–2173, 2019, doi:</w:t>
      </w:r>
      <w:r>
        <w:t xml:space="preserve"> </w:t>
      </w:r>
      <w:hyperlink r:id="rId123">
        <w:r>
          <w:rPr>
            <w:rStyle w:val="Hyperlink"/>
          </w:rPr>
          <w:t xml:space="preserve">10.1039/C9EE00505F</w:t>
        </w:r>
      </w:hyperlink>
      <w:r>
        <w:t xml:space="preserve">.</w:t>
      </w:r>
    </w:p>
    <w:bookmarkEnd w:id="124"/>
    <w:bookmarkStart w:id="126" w:name="X13531c79dac12af946d459f16339286f74e2a72"/>
    <w:p>
      <w:pPr>
        <w:pStyle w:val="Bibliography"/>
      </w:pPr>
      <w:r>
        <w:t xml:space="preserve">[17]</w:t>
      </w:r>
      <w:r>
        <w:t xml:space="preserve"> </w:t>
      </w:r>
      <w:r>
        <w:t xml:space="preserve">	</w:t>
      </w:r>
      <w:r>
        <w:t xml:space="preserve">R.-B. Lin, S. Xiang, W. Zhou, and B. Chen,</w:t>
      </w:r>
      <w:r>
        <w:t xml:space="preserve"> </w:t>
      </w:r>
      <w:r>
        <w:t xml:space="preserve">“Microporous</w:t>
      </w:r>
      <w:r>
        <w:t xml:space="preserve"> </w:t>
      </w:r>
      <w:r>
        <w:t xml:space="preserve">Metal</w:t>
      </w:r>
      <w:r>
        <w:t xml:space="preserve">-</w:t>
      </w:r>
      <w:r>
        <w:t xml:space="preserve">Organic Framework Materials</w:t>
      </w:r>
      <w:r>
        <w:t xml:space="preserve"> </w:t>
      </w:r>
      <w:r>
        <w:t xml:space="preserve">for</w:t>
      </w:r>
      <w:r>
        <w:t xml:space="preserve"> </w:t>
      </w:r>
      <w:r>
        <w:t xml:space="preserve">Gas Separation</w:t>
      </w:r>
      <w:r>
        <w:t xml:space="preserve">,”</w:t>
      </w:r>
      <w:r>
        <w:t xml:space="preserve"> </w:t>
      </w:r>
      <w:r>
        <w:rPr>
          <w:iCs/>
          <w:i/>
        </w:rPr>
        <w:t xml:space="preserve">Chem</w:t>
      </w:r>
      <w:r>
        <w:t xml:space="preserve">, vol. 6, no. 2, pp. 337–363, Feb. 2020, doi:</w:t>
      </w:r>
      <w:r>
        <w:t xml:space="preserve"> </w:t>
      </w:r>
      <w:hyperlink r:id="rId125">
        <w:r>
          <w:rPr>
            <w:rStyle w:val="Hyperlink"/>
          </w:rPr>
          <w:t xml:space="preserve">10.1016/j.chempr.2019.10.012</w:t>
        </w:r>
      </w:hyperlink>
      <w:r>
        <w:t xml:space="preserve">.</w:t>
      </w:r>
    </w:p>
    <w:bookmarkEnd w:id="126"/>
    <w:bookmarkStart w:id="128" w:name="ref-bavykinaMetalOrganicFrameworks2020"/>
    <w:p>
      <w:pPr>
        <w:pStyle w:val="Bibliography"/>
      </w:pPr>
      <w:r>
        <w:t xml:space="preserve">[18]</w:t>
      </w:r>
      <w:r>
        <w:t xml:space="preserve"> </w:t>
      </w:r>
      <w:r>
        <w:t xml:space="preserve">	</w:t>
      </w:r>
      <w:r>
        <w:t xml:space="preserve">A. Bavykina, N. Kolobov, I. S. Khan, J. A. Bau, A. Ramirez, and J. Gascon,</w:t>
      </w:r>
      <w:r>
        <w:t xml:space="preserve"> </w:t>
      </w:r>
      <w:r>
        <w:t xml:space="preserve">“Metal</w:t>
      </w:r>
      <w:r>
        <w:t xml:space="preserve">Organic Frameworks</w:t>
      </w:r>
      <w:r>
        <w:t xml:space="preserve"> </w:t>
      </w:r>
      <w:r>
        <w:t xml:space="preserve">in</w:t>
      </w:r>
      <w:r>
        <w:t xml:space="preserve"> </w:t>
      </w:r>
      <w:r>
        <w:t xml:space="preserve">Heterogeneous Catalysis</w:t>
      </w:r>
      <w:r>
        <w:t xml:space="preserve">:</w:t>
      </w:r>
      <w:r>
        <w:t xml:space="preserve"> </w:t>
      </w:r>
      <w:r>
        <w:t xml:space="preserve">Recent Progress</w:t>
      </w:r>
      <w:r>
        <w:t xml:space="preserve">,</w:t>
      </w:r>
      <w:r>
        <w:t xml:space="preserve"> </w:t>
      </w:r>
      <w:r>
        <w:t xml:space="preserve">New Trends</w:t>
      </w:r>
      <w:r>
        <w:t xml:space="preserve">, and</w:t>
      </w:r>
      <w:r>
        <w:t xml:space="preserve"> </w:t>
      </w:r>
      <w:r>
        <w:t xml:space="preserve">Future Perspectives</w:t>
      </w:r>
      <w:r>
        <w:t xml:space="preserve">,”</w:t>
      </w:r>
      <w:r>
        <w:t xml:space="preserve"> </w:t>
      </w:r>
      <w:r>
        <w:rPr>
          <w:iCs/>
          <w:i/>
        </w:rPr>
        <w:t xml:space="preserve">Chem. Rev.</w:t>
      </w:r>
      <w:r>
        <w:t xml:space="preserve">, vol. 120, no. 16, pp. 8468–8535, Aug. 2020, doi:</w:t>
      </w:r>
      <w:r>
        <w:t xml:space="preserve"> </w:t>
      </w:r>
      <w:hyperlink r:id="rId127">
        <w:r>
          <w:rPr>
            <w:rStyle w:val="Hyperlink"/>
          </w:rPr>
          <w:t xml:space="preserve">10.1021/acs.chemrev.9b00685</w:t>
        </w:r>
      </w:hyperlink>
      <w:r>
        <w:t xml:space="preserve">.</w:t>
      </w:r>
    </w:p>
    <w:bookmarkEnd w:id="128"/>
    <w:bookmarkStart w:id="130" w:name="ref-allendorfElectronicDevicesUsing2020"/>
    <w:p>
      <w:pPr>
        <w:pStyle w:val="Bibliography"/>
      </w:pPr>
      <w:r>
        <w:t xml:space="preserve">[19]</w:t>
      </w:r>
      <w:r>
        <w:t xml:space="preserve"> </w:t>
      </w:r>
      <w:r>
        <w:t xml:space="preserve">	</w:t>
      </w:r>
      <w:r>
        <w:t xml:space="preserve">M. D. Allendorf, R. Dong, X. Feng, S. Kaskel, D. Matoga, and V. Stavila,</w:t>
      </w:r>
      <w:r>
        <w:t xml:space="preserve"> </w:t>
      </w:r>
      <w:r>
        <w:t xml:space="preserve">“Electronic</w:t>
      </w:r>
      <w:r>
        <w:t xml:space="preserve"> </w:t>
      </w:r>
      <w:r>
        <w:t xml:space="preserve">Devices Using Open Framework Materials</w:t>
      </w:r>
      <w:r>
        <w:t xml:space="preserve">,”</w:t>
      </w:r>
      <w:r>
        <w:t xml:space="preserve"> </w:t>
      </w:r>
      <w:r>
        <w:rPr>
          <w:iCs/>
          <w:i/>
        </w:rPr>
        <w:t xml:space="preserve">Chem. Rev.</w:t>
      </w:r>
      <w:r>
        <w:t xml:space="preserve">, vol. 120, no. 16, pp. 8581–8640, Aug. 2020, doi:</w:t>
      </w:r>
      <w:r>
        <w:t xml:space="preserve"> </w:t>
      </w:r>
      <w:hyperlink r:id="rId129">
        <w:r>
          <w:rPr>
            <w:rStyle w:val="Hyperlink"/>
          </w:rPr>
          <w:t xml:space="preserve">10.1021/acs.chemrev.0c00033</w:t>
        </w:r>
      </w:hyperlink>
      <w:r>
        <w:t xml:space="preserve">.</w:t>
      </w:r>
    </w:p>
    <w:bookmarkEnd w:id="130"/>
    <w:bookmarkStart w:id="132" w:name="Xb606f4a235af971fe6df91f53399abc78deb571"/>
    <w:p>
      <w:pPr>
        <w:pStyle w:val="Bibliography"/>
      </w:pPr>
      <w:r>
        <w:t xml:space="preserve">[20]</w:t>
      </w:r>
      <w:r>
        <w:t xml:space="preserve"> </w:t>
      </w:r>
      <w:r>
        <w:t xml:space="preserve">	</w:t>
      </w:r>
      <w:r>
        <w:t xml:space="preserve">M. Woellner, S. Hausdorf, N. Klein, P. Mueller, M. W. Smith, and S. Kaskel,</w:t>
      </w:r>
      <w:r>
        <w:t xml:space="preserve"> </w:t>
      </w:r>
      <w:r>
        <w:t xml:space="preserve">“Adsorption and</w:t>
      </w:r>
      <w:r>
        <w:t xml:space="preserve"> </w:t>
      </w:r>
      <w:r>
        <w:t xml:space="preserve">Detection</w:t>
      </w:r>
      <w:r>
        <w:t xml:space="preserve"> </w:t>
      </w:r>
      <w:r>
        <w:t xml:space="preserve">of</w:t>
      </w:r>
      <w:r>
        <w:t xml:space="preserve"> </w:t>
      </w:r>
      <w:r>
        <w:t xml:space="preserve">Hazardous Trace Gases</w:t>
      </w:r>
      <w:r>
        <w:t xml:space="preserve"> </w:t>
      </w:r>
      <w:r>
        <w:t xml:space="preserve">by</w:t>
      </w:r>
      <w:r>
        <w:t xml:space="preserve"> </w:t>
      </w:r>
      <w:r>
        <w:t xml:space="preserve">Metal</w:t>
      </w:r>
      <w:r>
        <w:t xml:space="preserve">-</w:t>
      </w:r>
      <w:r>
        <w:t xml:space="preserve">Organic Frameworks</w:t>
      </w:r>
      <w:r>
        <w:t xml:space="preserve">,”</w:t>
      </w:r>
      <w:r>
        <w:t xml:space="preserve"> </w:t>
      </w:r>
      <w:r>
        <w:rPr>
          <w:iCs/>
          <w:i/>
        </w:rPr>
        <w:t xml:space="preserve">Adv. Mater.</w:t>
      </w:r>
      <w:r>
        <w:t xml:space="preserve">, vol. 30, no. 37, p. 1704679, Sep. 2018, doi:</w:t>
      </w:r>
      <w:r>
        <w:t xml:space="preserve"> </w:t>
      </w:r>
      <w:hyperlink r:id="rId131">
        <w:r>
          <w:rPr>
            <w:rStyle w:val="Hyperlink"/>
          </w:rPr>
          <w:t xml:space="preserve">10.1002/adma.201704679</w:t>
        </w:r>
      </w:hyperlink>
      <w:r>
        <w:t xml:space="preserve">.</w:t>
      </w:r>
    </w:p>
    <w:bookmarkEnd w:id="132"/>
    <w:bookmarkStart w:id="134" w:name="ref-mito-okaSiloxaneD4Capture2013"/>
    <w:p>
      <w:pPr>
        <w:pStyle w:val="Bibliography"/>
      </w:pPr>
      <w:r>
        <w:t xml:space="preserve">[21]</w:t>
      </w:r>
      <w:r>
        <w:t xml:space="preserve"> </w:t>
      </w:r>
      <w:r>
        <w:t xml:space="preserve">	</w:t>
      </w:r>
      <w:r>
        <w:t xml:space="preserve">Y. Mito-oka</w:t>
      </w:r>
      <w:r>
        <w:t xml:space="preserve"> </w:t>
      </w:r>
      <w:r>
        <w:rPr>
          <w:iCs/>
          <w:i/>
        </w:rPr>
        <w:t xml:space="preserve">et al.</w:t>
      </w:r>
      <w:r>
        <w:t xml:space="preserve">,</w:t>
      </w:r>
      <w:r>
        <w:t xml:space="preserve"> </w:t>
      </w:r>
      <w:r>
        <w:t xml:space="preserve">“Siloxane</w:t>
      </w:r>
      <w:r>
        <w:t xml:space="preserve"> </w:t>
      </w:r>
      <w:r>
        <w:t xml:space="preserve">D4</w:t>
      </w:r>
      <w:r>
        <w:t xml:space="preserve"> </w:t>
      </w:r>
      <w:r>
        <w:t xml:space="preserve">capture by hydrophobic microporous materials,”</w:t>
      </w:r>
      <w:r>
        <w:t xml:space="preserve"> </w:t>
      </w:r>
      <w:r>
        <w:rPr>
          <w:iCs/>
          <w:i/>
        </w:rPr>
        <w:t xml:space="preserve">J. Mater. Chem. A</w:t>
      </w:r>
      <w:r>
        <w:t xml:space="preserve">, vol. 1, no. 27, p. 7885, 2013, doi:</w:t>
      </w:r>
      <w:r>
        <w:t xml:space="preserve"> </w:t>
      </w:r>
      <w:hyperlink r:id="rId133">
        <w:r>
          <w:rPr>
            <w:rStyle w:val="Hyperlink"/>
          </w:rPr>
          <w:t xml:space="preserve">10.1039/c3ta11217a</w:t>
        </w:r>
      </w:hyperlink>
      <w:r>
        <w:t xml:space="preserve">.</w:t>
      </w:r>
    </w:p>
    <w:bookmarkEnd w:id="134"/>
    <w:bookmarkStart w:id="136" w:name="ref-gargiuloChromiumbasedMIL101Metal2019"/>
    <w:p>
      <w:pPr>
        <w:pStyle w:val="Bibliography"/>
      </w:pPr>
      <w:r>
        <w:t xml:space="preserve">[22]</w:t>
      </w:r>
      <w:r>
        <w:t xml:space="preserve"> </w:t>
      </w:r>
      <w:r>
        <w:t xml:space="preserve">	</w:t>
      </w:r>
      <w:r>
        <w:t xml:space="preserve">N. Gargiulo</w:t>
      </w:r>
      <w:r>
        <w:t xml:space="preserve"> </w:t>
      </w:r>
      <w:r>
        <w:rPr>
          <w:iCs/>
          <w:i/>
        </w:rPr>
        <w:t xml:space="preserve">et al.</w:t>
      </w:r>
      <w:r>
        <w:t xml:space="preserve">,</w:t>
      </w:r>
      <w:r>
        <w:t xml:space="preserve"> </w:t>
      </w:r>
      <w:r>
        <w:t xml:space="preserve">“Chromium-based</w:t>
      </w:r>
      <w:r>
        <w:t xml:space="preserve"> </w:t>
      </w:r>
      <w:r>
        <w:t xml:space="preserve">MIL</w:t>
      </w:r>
      <w:r>
        <w:t xml:space="preserve">-101 metal organic framework as a fully regenerable</w:t>
      </w:r>
      <w:r>
        <w:t xml:space="preserve"> </w:t>
      </w:r>
      <w:r>
        <w:t xml:space="preserve">D4</w:t>
      </w:r>
      <w:r>
        <w:t xml:space="preserve"> </w:t>
      </w:r>
      <w:r>
        <w:t xml:space="preserve">adsorbent for biogas purification,”</w:t>
      </w:r>
      <w:r>
        <w:t xml:space="preserve"> </w:t>
      </w:r>
      <w:r>
        <w:rPr>
          <w:iCs/>
          <w:i/>
        </w:rPr>
        <w:t xml:space="preserve">Renewable Energy</w:t>
      </w:r>
      <w:r>
        <w:t xml:space="preserve">, vol. 138, pp. 230–235, Aug. 2019, doi:</w:t>
      </w:r>
      <w:r>
        <w:t xml:space="preserve"> </w:t>
      </w:r>
      <w:hyperlink r:id="rId135">
        <w:r>
          <w:rPr>
            <w:rStyle w:val="Hyperlink"/>
          </w:rPr>
          <w:t xml:space="preserve">10.1016/j.renene.2019.01.096</w:t>
        </w:r>
      </w:hyperlink>
      <w:r>
        <w:t xml:space="preserve">.</w:t>
      </w:r>
    </w:p>
    <w:bookmarkEnd w:id="136"/>
    <w:bookmarkStart w:id="138" w:name="ref-zhaoSynthesisMIL101Cr2020"/>
    <w:p>
      <w:pPr>
        <w:pStyle w:val="Bibliography"/>
      </w:pPr>
      <w:r>
        <w:t xml:space="preserve">[23]</w:t>
      </w:r>
      <w:r>
        <w:t xml:space="preserve"> </w:t>
      </w:r>
      <w:r>
        <w:t xml:space="preserve">	</w:t>
      </w:r>
      <w:r>
        <w:t xml:space="preserve">H. Zhao, Q. Li, Z. Wang, T. Wu, and M. Zhang,</w:t>
      </w:r>
      <w:r>
        <w:t xml:space="preserve"> </w:t>
      </w:r>
      <w:r>
        <w:t xml:space="preserve">“Synthesis of</w:t>
      </w:r>
      <w:r>
        <w:t xml:space="preserve"> </w:t>
      </w:r>
      <w:r>
        <w:t xml:space="preserve">MIL</w:t>
      </w:r>
      <w:r>
        <w:t xml:space="preserve">-101(</w:t>
      </w:r>
      <w:r>
        <w:t xml:space="preserve">Cr</w:t>
      </w:r>
      <w:r>
        <w:t xml:space="preserve">) and its water adsorption performance,”</w:t>
      </w:r>
      <w:r>
        <w:t xml:space="preserve"> </w:t>
      </w:r>
      <w:r>
        <w:rPr>
          <w:iCs/>
          <w:i/>
        </w:rPr>
        <w:t xml:space="preserve">Microporous and Mesoporous Materials</w:t>
      </w:r>
      <w:r>
        <w:t xml:space="preserve">, vol. 297, p. 110044, May 2020, doi:</w:t>
      </w:r>
      <w:r>
        <w:t xml:space="preserve"> </w:t>
      </w:r>
      <w:hyperlink r:id="rId137">
        <w:r>
          <w:rPr>
            <w:rStyle w:val="Hyperlink"/>
          </w:rPr>
          <w:t xml:space="preserve">10.1016/j.micromeso.2020.110044</w:t>
        </w:r>
      </w:hyperlink>
      <w:r>
        <w:t xml:space="preserve">.</w:t>
      </w:r>
    </w:p>
    <w:bookmarkEnd w:id="138"/>
    <w:bookmarkStart w:id="140" w:name="ref-simonWhatAreBest2015"/>
    <w:p>
      <w:pPr>
        <w:pStyle w:val="Bibliography"/>
      </w:pPr>
      <w:r>
        <w:t xml:space="preserve">[24]</w:t>
      </w:r>
      <w:r>
        <w:t xml:space="preserve"> </w:t>
      </w:r>
      <w:r>
        <w:t xml:space="preserve">	</w:t>
      </w:r>
      <w:r>
        <w:t xml:space="preserve">C. M. Simon, R. Mercado, S. K. Schnell, B. Smit, and M. Haranczyk,</w:t>
      </w:r>
      <w:r>
        <w:t xml:space="preserve"> </w:t>
      </w:r>
      <w:r>
        <w:t xml:space="preserve">“What</w:t>
      </w:r>
      <w:r>
        <w:t xml:space="preserve"> </w:t>
      </w:r>
      <w:r>
        <w:t xml:space="preserve">Are</w:t>
      </w:r>
      <w:r>
        <w:t xml:space="preserve"> </w:t>
      </w:r>
      <w:r>
        <w:t xml:space="preserve">the</w:t>
      </w:r>
      <w:r>
        <w:t xml:space="preserve"> </w:t>
      </w:r>
      <w:r>
        <w:t xml:space="preserve">Best Materials To Separate</w:t>
      </w:r>
      <w:r>
        <w:t xml:space="preserve"> </w:t>
      </w:r>
      <w:r>
        <w:t xml:space="preserve">a</w:t>
      </w:r>
      <w:r>
        <w:t xml:space="preserve"> </w:t>
      </w:r>
      <w:r>
        <w:t xml:space="preserve">Xenon</w:t>
      </w:r>
      <w:r>
        <w:t xml:space="preserve">/</w:t>
      </w:r>
      <w:r>
        <w:t xml:space="preserve">Krypton Mixture</w:t>
      </w:r>
      <w:r>
        <w:t xml:space="preserve">?”</w:t>
      </w:r>
      <w:r>
        <w:t xml:space="preserve"> </w:t>
      </w:r>
      <w:r>
        <w:rPr>
          <w:iCs/>
          <w:i/>
        </w:rPr>
        <w:t xml:space="preserve">Chem. Mater.</w:t>
      </w:r>
      <w:r>
        <w:t xml:space="preserve">, vol. 27, no. 12, pp. 4459–4475, Jun. 2015, doi:</w:t>
      </w:r>
      <w:r>
        <w:t xml:space="preserve"> </w:t>
      </w:r>
      <w:hyperlink r:id="rId139">
        <w:r>
          <w:rPr>
            <w:rStyle w:val="Hyperlink"/>
          </w:rPr>
          <w:t xml:space="preserve">10.1021/acs.chemmater.5b01475</w:t>
        </w:r>
      </w:hyperlink>
      <w:r>
        <w:t xml:space="preserve">.</w:t>
      </w:r>
    </w:p>
    <w:bookmarkEnd w:id="140"/>
    <w:bookmarkStart w:id="142" w:name="ref-parkEstablishingUpperBounds2017"/>
    <w:p>
      <w:pPr>
        <w:pStyle w:val="Bibliography"/>
      </w:pPr>
      <w:r>
        <w:t xml:space="preserve">[25]</w:t>
      </w:r>
      <w:r>
        <w:t xml:space="preserve"> </w:t>
      </w:r>
      <w:r>
        <w:t xml:space="preserve">	</w:t>
      </w:r>
      <w:r>
        <w:t xml:space="preserve">J. Park, R. P. Lively, and D. S. Sholl,</w:t>
      </w:r>
      <w:r>
        <w:t xml:space="preserve"> </w:t>
      </w:r>
      <w:r>
        <w:t xml:space="preserve">“Establishing upper bounds on</w:t>
      </w:r>
      <w:r>
        <w:t xml:space="preserve"> </w:t>
      </w:r>
      <w:r>
        <w:t xml:space="preserve">CO</w:t>
      </w:r>
      <w:r>
        <w:rPr>
          <w:vertAlign w:val="subscript"/>
        </w:rPr>
        <w:t xml:space="preserve">2</w:t>
      </w:r>
      <w:r>
        <w:t xml:space="preserve"> </w:t>
      </w:r>
      <w:r>
        <w:t xml:space="preserve">swing capacity in sub-ambient pressure swing adsorption via molecular simulation of metal</w:t>
      </w:r>
      <w:r>
        <w:t xml:space="preserve">organic frameworks,”</w:t>
      </w:r>
      <w:r>
        <w:t xml:space="preserve"> </w:t>
      </w:r>
      <w:r>
        <w:rPr>
          <w:iCs/>
          <w:i/>
        </w:rPr>
        <w:t xml:space="preserve">J. Mater. Chem. A</w:t>
      </w:r>
      <w:r>
        <w:t xml:space="preserve">, vol. 5, no. 24, pp. 12258–12265, 2017, doi:</w:t>
      </w:r>
      <w:r>
        <w:t xml:space="preserve"> </w:t>
      </w:r>
      <w:hyperlink r:id="rId141">
        <w:r>
          <w:rPr>
            <w:rStyle w:val="Hyperlink"/>
          </w:rPr>
          <w:t xml:space="preserve">10.1039/C7TA02916K</w:t>
        </w:r>
      </w:hyperlink>
      <w:r>
        <w:t xml:space="preserve">.</w:t>
      </w:r>
    </w:p>
    <w:bookmarkEnd w:id="142"/>
    <w:bookmarkStart w:id="144" w:name="Xc14f84aea59c0ffe8a0c3076f33ed5a4900f11b"/>
    <w:p>
      <w:pPr>
        <w:pStyle w:val="Bibliography"/>
      </w:pPr>
      <w:r>
        <w:t xml:space="preserve">[26]</w:t>
      </w:r>
      <w:r>
        <w:t xml:space="preserve"> </w:t>
      </w:r>
      <w:r>
        <w:t xml:space="preserve">	</w:t>
      </w:r>
      <w:r>
        <w:t xml:space="preserve">P. Z. Moghadam</w:t>
      </w:r>
      <w:r>
        <w:t xml:space="preserve"> </w:t>
      </w:r>
      <w:r>
        <w:rPr>
          <w:iCs/>
          <w:i/>
        </w:rPr>
        <w:t xml:space="preserve">et al.</w:t>
      </w:r>
      <w:r>
        <w:t xml:space="preserve">,</w:t>
      </w:r>
      <w:r>
        <w:t xml:space="preserve"> </w:t>
      </w:r>
      <w:r>
        <w:t xml:space="preserve">“Computer-aided discovery of a metal</w:t>
      </w:r>
      <w:r>
        <w:t xml:space="preserve">organic framework with superior oxygen uptake,”</w:t>
      </w:r>
      <w:r>
        <w:t xml:space="preserve"> </w:t>
      </w:r>
      <w:r>
        <w:rPr>
          <w:iCs/>
          <w:i/>
        </w:rPr>
        <w:t xml:space="preserve">Nat Commun</w:t>
      </w:r>
      <w:r>
        <w:t xml:space="preserve">, vol. 9, no. 1, p. 1378, Dec. 2018, doi:</w:t>
      </w:r>
      <w:r>
        <w:t xml:space="preserve"> </w:t>
      </w:r>
      <w:hyperlink r:id="rId143">
        <w:r>
          <w:rPr>
            <w:rStyle w:val="Hyperlink"/>
          </w:rPr>
          <w:t xml:space="preserve">10.1038/s41467-018-03892-8</w:t>
        </w:r>
      </w:hyperlink>
      <w:r>
        <w:t xml:space="preserve">.</w:t>
      </w:r>
    </w:p>
    <w:bookmarkEnd w:id="144"/>
    <w:bookmarkStart w:id="146" w:name="ref-boydDatadrivenDesignMetal2019"/>
    <w:p>
      <w:pPr>
        <w:pStyle w:val="Bibliography"/>
      </w:pPr>
      <w:r>
        <w:t xml:space="preserve">[27]</w:t>
      </w:r>
      <w:r>
        <w:t xml:space="preserve"> </w:t>
      </w:r>
      <w:r>
        <w:t xml:space="preserve">	</w:t>
      </w:r>
      <w:r>
        <w:t xml:space="preserve">P. G. Boyd</w:t>
      </w:r>
      <w:r>
        <w:t xml:space="preserve"> </w:t>
      </w:r>
      <w:r>
        <w:rPr>
          <w:iCs/>
          <w:i/>
        </w:rPr>
        <w:t xml:space="preserve">et al.</w:t>
      </w:r>
      <w:r>
        <w:t xml:space="preserve">,</w:t>
      </w:r>
      <w:r>
        <w:t xml:space="preserve"> </w:t>
      </w:r>
      <w:r>
        <w:t xml:space="preserve">“Data-driven design of metal</w:t>
      </w:r>
      <w:r>
        <w:t xml:space="preserve">organic frameworks for wet flue gas</w:t>
      </w:r>
      <w:r>
        <w:t xml:space="preserve"> </w:t>
      </w:r>
      <w:r>
        <w:t xml:space="preserve">CO2</w:t>
      </w:r>
      <w:r>
        <w:t xml:space="preserve"> </w:t>
      </w:r>
      <w:r>
        <w:t xml:space="preserve">capture,”</w:t>
      </w:r>
      <w:r>
        <w:t xml:space="preserve"> </w:t>
      </w:r>
      <w:r>
        <w:rPr>
          <w:iCs/>
          <w:i/>
        </w:rPr>
        <w:t xml:space="preserve">Nature</w:t>
      </w:r>
      <w:r>
        <w:t xml:space="preserve">, vol. 576, no. 7786, pp. 253–256, Dec. 2019, doi:</w:t>
      </w:r>
      <w:r>
        <w:t xml:space="preserve"> </w:t>
      </w:r>
      <w:hyperlink r:id="rId145">
        <w:r>
          <w:rPr>
            <w:rStyle w:val="Hyperlink"/>
          </w:rPr>
          <w:t xml:space="preserve">10.1038/s41586-019-1798-7</w:t>
        </w:r>
      </w:hyperlink>
      <w:r>
        <w:t xml:space="preserve">.</w:t>
      </w:r>
    </w:p>
    <w:bookmarkEnd w:id="146"/>
    <w:bookmarkStart w:id="148" w:name="ref-shiMachineLearningSilico2020"/>
    <w:p>
      <w:pPr>
        <w:pStyle w:val="Bibliography"/>
      </w:pPr>
      <w:r>
        <w:t xml:space="preserve">[28]</w:t>
      </w:r>
      <w:r>
        <w:t xml:space="preserve"> </w:t>
      </w:r>
      <w:r>
        <w:t xml:space="preserve">	</w:t>
      </w:r>
      <w:r>
        <w:t xml:space="preserve">Z. Shi, H. Liang, W. Yang, J. Liu, Z. Liu, and Z. Qiao,</w:t>
      </w:r>
      <w:r>
        <w:t xml:space="preserve"> </w:t>
      </w:r>
      <w:r>
        <w:t xml:space="preserve">“Machine learning and in silico discovery of metal-organic frameworks:</w:t>
      </w:r>
      <w:r>
        <w:t xml:space="preserve"> </w:t>
      </w:r>
      <w:r>
        <w:t xml:space="preserve">Methanol</w:t>
      </w:r>
      <w:r>
        <w:t xml:space="preserve"> </w:t>
      </w:r>
      <w:r>
        <w:t xml:space="preserve">as a working fluid in adsorption-driven heat pumps and chillers,”</w:t>
      </w:r>
      <w:r>
        <w:t xml:space="preserve"> </w:t>
      </w:r>
      <w:r>
        <w:rPr>
          <w:iCs/>
          <w:i/>
        </w:rPr>
        <w:t xml:space="preserve">Chemical Engineering Science</w:t>
      </w:r>
      <w:r>
        <w:t xml:space="preserve">, vol. 214, p. 115430, Mar. 2020, doi:</w:t>
      </w:r>
      <w:r>
        <w:t xml:space="preserve"> </w:t>
      </w:r>
      <w:hyperlink r:id="rId147">
        <w:r>
          <w:rPr>
            <w:rStyle w:val="Hyperlink"/>
          </w:rPr>
          <w:t xml:space="preserve">10.1016/j.ces.2019.115430</w:t>
        </w:r>
      </w:hyperlink>
      <w:r>
        <w:t xml:space="preserve">.</w:t>
      </w:r>
    </w:p>
    <w:bookmarkEnd w:id="148"/>
    <w:bookmarkStart w:id="150" w:name="ref-yaoInverseDesignNanoporous2021"/>
    <w:p>
      <w:pPr>
        <w:pStyle w:val="Bibliography"/>
      </w:pPr>
      <w:r>
        <w:t xml:space="preserve">[29]</w:t>
      </w:r>
      <w:r>
        <w:t xml:space="preserve"> </w:t>
      </w:r>
      <w:r>
        <w:t xml:space="preserve">	</w:t>
      </w:r>
      <w:r>
        <w:t xml:space="preserve">Z. Yao</w:t>
      </w:r>
      <w:r>
        <w:t xml:space="preserve"> </w:t>
      </w:r>
      <w:r>
        <w:rPr>
          <w:iCs/>
          <w:i/>
        </w:rPr>
        <w:t xml:space="preserve">et al.</w:t>
      </w:r>
      <w:r>
        <w:t xml:space="preserve">,</w:t>
      </w:r>
      <w:r>
        <w:t xml:space="preserve"> </w:t>
      </w:r>
      <w:r>
        <w:t xml:space="preserve">“Inverse design of nanoporous crystalline reticular materials with deep generative models,”</w:t>
      </w:r>
      <w:r>
        <w:t xml:space="preserve"> </w:t>
      </w:r>
      <w:r>
        <w:rPr>
          <w:iCs/>
          <w:i/>
        </w:rPr>
        <w:t xml:space="preserve">Nat Mach Intell</w:t>
      </w:r>
      <w:r>
        <w:t xml:space="preserve">, Jan. 2021, doi:</w:t>
      </w:r>
      <w:r>
        <w:t xml:space="preserve"> </w:t>
      </w:r>
      <w:hyperlink r:id="rId149">
        <w:r>
          <w:rPr>
            <w:rStyle w:val="Hyperlink"/>
          </w:rPr>
          <w:t xml:space="preserve">10.1038/s42256-020-00271-1</w:t>
        </w:r>
      </w:hyperlink>
      <w:r>
        <w:t xml:space="preserve">.</w:t>
      </w:r>
    </w:p>
    <w:bookmarkEnd w:id="150"/>
    <w:bookmarkStart w:id="151" w:name="ref-chungAdvancesUpdatesAnalytics2019"/>
    <w:p>
      <w:pPr>
        <w:pStyle w:val="Bibliography"/>
      </w:pPr>
      <w:r>
        <w:t xml:space="preserve">[30]</w:t>
      </w:r>
      <w:r>
        <w:t xml:space="preserve"> </w:t>
      </w:r>
      <w:r>
        <w:t xml:space="preserve">	</w:t>
      </w:r>
      <w:r>
        <w:t xml:space="preserve">Y. G. Chung</w:t>
      </w:r>
      <w:r>
        <w:t xml:space="preserve"> </w:t>
      </w:r>
      <w:r>
        <w:rPr>
          <w:iCs/>
          <w:i/>
        </w:rPr>
        <w:t xml:space="preserve">et al.</w:t>
      </w:r>
      <w:r>
        <w:t xml:space="preserve">,</w:t>
      </w:r>
      <w:r>
        <w:t xml:space="preserve"> </w:t>
      </w:r>
      <w:r>
        <w:t xml:space="preserve">“Advances, updates, and analytics for the computation-ready, experimental</w:t>
      </w:r>
      <w:r>
        <w:t xml:space="preserve"> </w:t>
      </w:r>
      <w:r>
        <w:t xml:space="preserve">Metal</w:t>
      </w:r>
      <w:r>
        <w:t xml:space="preserve">Organic</w:t>
      </w:r>
      <w:r>
        <w:t xml:space="preserve"> </w:t>
      </w:r>
      <w:r>
        <w:t xml:space="preserve">framework database:</w:t>
      </w:r>
      <w:r>
        <w:t xml:space="preserve"> </w:t>
      </w:r>
      <w:r>
        <w:t xml:space="preserve">CoRE MOF</w:t>
      </w:r>
      <w:r>
        <w:t xml:space="preserve"> </w:t>
      </w:r>
      <w:r>
        <w:t xml:space="preserve">2019,”</w:t>
      </w:r>
      <w:r>
        <w:t xml:space="preserve"> </w:t>
      </w:r>
      <w:r>
        <w:rPr>
          <w:iCs/>
          <w:i/>
        </w:rPr>
        <w:t xml:space="preserve">J. Chem. Eng. Data</w:t>
      </w:r>
      <w:r>
        <w:t xml:space="preserve">, vol. 64, no. 12, pp. 5985–5998, 2019.</w:t>
      </w:r>
    </w:p>
    <w:bookmarkEnd w:id="151"/>
    <w:bookmarkStart w:id="153" w:name="Xc393fa15a7fd111b2302ccebfe2294244c053bc"/>
    <w:p>
      <w:pPr>
        <w:pStyle w:val="Bibliography"/>
      </w:pPr>
      <w:r>
        <w:t xml:space="preserve">[31]</w:t>
      </w:r>
      <w:r>
        <w:t xml:space="preserve"> </w:t>
      </w:r>
      <w:r>
        <w:t xml:space="preserve">	</w:t>
      </w:r>
      <w:r>
        <w:t xml:space="preserve">T. F. Willems, C. H. Rycroft, M. Kazi, J. C. Meza, and M. Haranczyk,</w:t>
      </w:r>
      <w:r>
        <w:t xml:space="preserve"> </w:t>
      </w:r>
      <w:r>
        <w:t xml:space="preserve">“Algorithms and tools for high-throughput geometry-based analysis of crystalline porous materials,”</w:t>
      </w:r>
      <w:r>
        <w:t xml:space="preserve"> </w:t>
      </w:r>
      <w:r>
        <w:rPr>
          <w:iCs/>
          <w:i/>
        </w:rPr>
        <w:t xml:space="preserve">Microporous and Mesoporous Materials</w:t>
      </w:r>
      <w:r>
        <w:t xml:space="preserve">, vol. 149, no. 1, pp. 134–141, Feb. 2012, doi:</w:t>
      </w:r>
      <w:r>
        <w:t xml:space="preserve"> </w:t>
      </w:r>
      <w:hyperlink r:id="rId152">
        <w:r>
          <w:rPr>
            <w:rStyle w:val="Hyperlink"/>
          </w:rPr>
          <w:t xml:space="preserve">10.1016/j.micromeso.2011.08.020</w:t>
        </w:r>
      </w:hyperlink>
      <w:r>
        <w:t xml:space="preserve">.</w:t>
      </w:r>
    </w:p>
    <w:bookmarkEnd w:id="153"/>
    <w:bookmarkStart w:id="154" w:name="X8414d95805b03ad1b89c4998d4db27d936a1ab9"/>
    <w:p>
      <w:pPr>
        <w:pStyle w:val="Bibliography"/>
      </w:pPr>
      <w:r>
        <w:t xml:space="preserve">[32]</w:t>
      </w:r>
      <w:r>
        <w:t xml:space="preserve"> </w:t>
      </w:r>
      <w:r>
        <w:t xml:space="preserve">	</w:t>
      </w:r>
      <w:r>
        <w:t xml:space="preserve">D. Dubbeldam, S. Calero, D. E. Ellis, and R. Q. Snurr,</w:t>
      </w:r>
      <w:r>
        <w:t xml:space="preserve"> </w:t>
      </w:r>
      <w:r>
        <w:t xml:space="preserve">“</w:t>
      </w:r>
      <w:r>
        <w:t xml:space="preserve">RASPA</w:t>
      </w:r>
      <w:r>
        <w:t xml:space="preserve">:</w:t>
      </w:r>
      <w:r>
        <w:t xml:space="preserve"> </w:t>
      </w:r>
      <w:r>
        <w:t xml:space="preserve">Molecular</w:t>
      </w:r>
      <w:r>
        <w:t xml:space="preserve"> </w:t>
      </w:r>
      <w:r>
        <w:t xml:space="preserve">simulation software for adsorption and diffusion in flexible nanoporous materials,”</w:t>
      </w:r>
      <w:r>
        <w:t xml:space="preserve"> </w:t>
      </w:r>
      <w:r>
        <w:rPr>
          <w:iCs/>
          <w:i/>
        </w:rPr>
        <w:t xml:space="preserve">Mol. Simul.</w:t>
      </w:r>
      <w:r>
        <w:t xml:space="preserve">, vol. 42, no. 2, pp. 81–101, 2016.</w:t>
      </w:r>
    </w:p>
    <w:bookmarkEnd w:id="154"/>
    <w:bookmarkStart w:id="155" w:name="X2d346866bcc9823a9d7e4bfee703306fc65f584"/>
    <w:p>
      <w:pPr>
        <w:pStyle w:val="Bibliography"/>
      </w:pPr>
      <w:r>
        <w:t xml:space="preserve">[33]</w:t>
      </w:r>
      <w:r>
        <w:t xml:space="preserve"> </w:t>
      </w:r>
      <w:r>
        <w:t xml:space="preserve">	</w:t>
      </w:r>
      <w:r>
        <w:t xml:space="preserve">D. Frenkel and B. Smit,</w:t>
      </w:r>
      <w:r>
        <w:t xml:space="preserve"> </w:t>
      </w:r>
      <w:r>
        <w:rPr>
          <w:iCs/>
          <w:i/>
        </w:rPr>
        <w:t xml:space="preserve">Understanding molecular simulation:</w:t>
      </w:r>
      <w:r>
        <w:rPr>
          <w:iCs/>
          <w:i/>
        </w:rPr>
        <w:t xml:space="preserve"> </w:t>
      </w:r>
      <w:r>
        <w:rPr>
          <w:iCs/>
          <w:i/>
        </w:rPr>
        <w:t xml:space="preserve">From</w:t>
      </w:r>
      <w:r>
        <w:rPr>
          <w:iCs/>
          <w:i/>
        </w:rPr>
        <w:t xml:space="preserve"> </w:t>
      </w:r>
      <w:r>
        <w:rPr>
          <w:iCs/>
          <w:i/>
        </w:rPr>
        <w:t xml:space="preserve">algorithms to applications</w:t>
      </w:r>
      <w:r>
        <w:t xml:space="preserve">, vol. 1.</w:t>
      </w:r>
      <w:r>
        <w:t xml:space="preserve"> </w:t>
      </w:r>
      <w:r>
        <w:t xml:space="preserve">Academic press: London</w:t>
      </w:r>
      <w:r>
        <w:t xml:space="preserve">, 2002.</w:t>
      </w:r>
    </w:p>
    <w:bookmarkEnd w:id="155"/>
    <w:bookmarkStart w:id="156" w:name="ref-ewaldBerechnungOptischerUnd1921"/>
    <w:p>
      <w:pPr>
        <w:pStyle w:val="Bibliography"/>
      </w:pPr>
      <w:r>
        <w:t xml:space="preserve">[34]</w:t>
      </w:r>
      <w:r>
        <w:t xml:space="preserve"> </w:t>
      </w:r>
      <w:r>
        <w:t xml:space="preserve">	</w:t>
      </w:r>
      <w:r>
        <w:t xml:space="preserve">P. P. Ewald,</w:t>
      </w:r>
      <w:r>
        <w:t xml:space="preserve"> </w:t>
      </w:r>
      <w:r>
        <w:t xml:space="preserve">“Die berechnung optischer und elektrostatischer gitterpotentiale,”</w:t>
      </w:r>
      <w:r>
        <w:t xml:space="preserve"> </w:t>
      </w:r>
      <w:r>
        <w:rPr>
          <w:iCs/>
          <w:i/>
        </w:rPr>
        <w:t xml:space="preserve">Ann. Phys.</w:t>
      </w:r>
      <w:r>
        <w:t xml:space="preserve">, vol. 369, no. 3, pp. 253–287, 1921.</w:t>
      </w:r>
    </w:p>
    <w:bookmarkEnd w:id="156"/>
    <w:bookmarkStart w:id="157" w:name="X2974c98552c720a1b130955a7f04c585bd28e7e"/>
    <w:p>
      <w:pPr>
        <w:pStyle w:val="Bibliography"/>
      </w:pPr>
      <w:r>
        <w:t xml:space="preserve">[35]</w:t>
      </w:r>
      <w:r>
        <w:t xml:space="preserve"> </w:t>
      </w:r>
      <w:r>
        <w:t xml:space="preserve">	</w:t>
      </w:r>
      <w:r>
        <w:t xml:space="preserve">Z. Qiao, Q. Xu, A. K. Cheetham, and J. Jiang,</w:t>
      </w:r>
      <w:r>
        <w:t xml:space="preserve"> </w:t>
      </w:r>
      <w:r>
        <w:t xml:space="preserve">“High-throughput computational screening of metal-organic frameworks for thiol capture,”</w:t>
      </w:r>
      <w:r>
        <w:t xml:space="preserve"> </w:t>
      </w:r>
      <w:r>
        <w:rPr>
          <w:iCs/>
          <w:i/>
        </w:rPr>
        <w:t xml:space="preserve">J. Phys. Chem. C</w:t>
      </w:r>
      <w:r>
        <w:t xml:space="preserve">, vol. 121, no. 40, pp. 22208–22215, 2017.</w:t>
      </w:r>
    </w:p>
    <w:bookmarkEnd w:id="157"/>
    <w:bookmarkStart w:id="159" w:name="X65afd087067b0ffd7ebe65dd1bcea38a9ac6b47"/>
    <w:p>
      <w:pPr>
        <w:pStyle w:val="Bibliography"/>
      </w:pPr>
      <w:r>
        <w:t xml:space="preserve">[36]</w:t>
      </w:r>
      <w:r>
        <w:t xml:space="preserve"> </w:t>
      </w:r>
      <w:r>
        <w:t xml:space="preserve">	</w:t>
      </w:r>
      <w:r>
        <w:t xml:space="preserve">S. Keskin, J. Liu, R. B. Rankin, J. K. Johnson, and D. S. Sholl,</w:t>
      </w:r>
      <w:r>
        <w:t xml:space="preserve"> </w:t>
      </w:r>
      <w:r>
        <w:t xml:space="preserve">“Progress,</w:t>
      </w:r>
      <w:r>
        <w:t xml:space="preserve"> </w:t>
      </w:r>
      <w:r>
        <w:t xml:space="preserve">Opportunities</w:t>
      </w:r>
      <w:r>
        <w:t xml:space="preserve">, and</w:t>
      </w:r>
      <w:r>
        <w:t xml:space="preserve"> </w:t>
      </w:r>
      <w:r>
        <w:t xml:space="preserve">Challenges</w:t>
      </w:r>
      <w:r>
        <w:t xml:space="preserve"> </w:t>
      </w:r>
      <w:r>
        <w:t xml:space="preserve">for</w:t>
      </w:r>
      <w:r>
        <w:t xml:space="preserve"> </w:t>
      </w:r>
      <w:r>
        <w:t xml:space="preserve">Applying Atomically Detailed Modeling</w:t>
      </w:r>
      <w:r>
        <w:t xml:space="preserve"> </w:t>
      </w:r>
      <w:r>
        <w:t xml:space="preserve">to</w:t>
      </w:r>
      <w:r>
        <w:t xml:space="preserve"> </w:t>
      </w:r>
      <w:r>
        <w:t xml:space="preserve">Molecular Adsorption</w:t>
      </w:r>
      <w:r>
        <w:t xml:space="preserve"> </w:t>
      </w:r>
      <w:r>
        <w:t xml:space="preserve">and</w:t>
      </w:r>
      <w:r>
        <w:t xml:space="preserve"> </w:t>
      </w:r>
      <w:r>
        <w:t xml:space="preserve">Transport</w:t>
      </w:r>
      <w:r>
        <w:t xml:space="preserve"> </w:t>
      </w:r>
      <w:r>
        <w:t xml:space="preserve">in</w:t>
      </w:r>
      <w:r>
        <w:t xml:space="preserve"> </w:t>
      </w:r>
      <w:r>
        <w:t xml:space="preserve">Metal</w:t>
      </w:r>
      <w:r>
        <w:t xml:space="preserve">-</w:t>
      </w:r>
      <w:r>
        <w:t xml:space="preserve">Organic Framework Materials</w:t>
      </w:r>
      <w:r>
        <w:t xml:space="preserve">,”</w:t>
      </w:r>
      <w:r>
        <w:t xml:space="preserve"> </w:t>
      </w:r>
      <w:r>
        <w:rPr>
          <w:iCs/>
          <w:i/>
        </w:rPr>
        <w:t xml:space="preserve">Ind. Eng. Chem. Res.</w:t>
      </w:r>
      <w:r>
        <w:t xml:space="preserve">, vol. 48, no. 5, pp. 2355–2371, Mar. 2009, doi:</w:t>
      </w:r>
      <w:r>
        <w:t xml:space="preserve"> </w:t>
      </w:r>
      <w:hyperlink r:id="rId158">
        <w:r>
          <w:rPr>
            <w:rStyle w:val="Hyperlink"/>
          </w:rPr>
          <w:t xml:space="preserve">10.1021/ie800666s</w:t>
        </w:r>
      </w:hyperlink>
      <w:r>
        <w:t xml:space="preserve">.</w:t>
      </w:r>
    </w:p>
    <w:bookmarkEnd w:id="159"/>
    <w:bookmarkStart w:id="160" w:name="ref-abascalGeneralPurposeModel2005"/>
    <w:p>
      <w:pPr>
        <w:pStyle w:val="Bibliography"/>
      </w:pPr>
      <w:r>
        <w:t xml:space="preserve">[37]</w:t>
      </w:r>
      <w:r>
        <w:t xml:space="preserve"> </w:t>
      </w:r>
      <w:r>
        <w:t xml:space="preserve">	</w:t>
      </w:r>
      <w:r>
        <w:t xml:space="preserve">J. L. Abascal and C. Vega,</w:t>
      </w:r>
      <w:r>
        <w:t xml:space="preserve"> </w:t>
      </w:r>
      <w:r>
        <w:t xml:space="preserve">“A general purpose model for the condensed phases of water:</w:t>
      </w:r>
      <w:r>
        <w:t xml:space="preserve"> </w:t>
      </w:r>
      <w:r>
        <w:t xml:space="preserve">TIP4P</w:t>
      </w:r>
      <w:r>
        <w:t xml:space="preserve">/2005,”</w:t>
      </w:r>
      <w:r>
        <w:t xml:space="preserve"> </w:t>
      </w:r>
      <w:r>
        <w:rPr>
          <w:iCs/>
          <w:i/>
        </w:rPr>
        <w:t xml:space="preserve">J. Chem. Phys.</w:t>
      </w:r>
      <w:r>
        <w:t xml:space="preserve">, vol. 123, no. 23, pp. 234505–234517, 2005.</w:t>
      </w:r>
    </w:p>
    <w:bookmarkEnd w:id="160"/>
    <w:bookmarkStart w:id="161" w:name="X73614b257bdd871e78e6571fa5cd0b15764920c"/>
    <w:p>
      <w:pPr>
        <w:pStyle w:val="Bibliography"/>
      </w:pPr>
      <w:r>
        <w:t xml:space="preserve">[38]</w:t>
      </w:r>
      <w:r>
        <w:t xml:space="preserve"> </w:t>
      </w:r>
      <w:r>
        <w:t xml:space="preserve">	</w:t>
      </w:r>
      <w:r>
        <w:t xml:space="preserve">P. Dauber-Osguthorpe, V. A. Roberts, D. J. Osguthorpe, J. Wolff, M. Genest, and A. T. Hagler,</w:t>
      </w:r>
      <w:r>
        <w:t xml:space="preserve"> </w:t>
      </w:r>
      <w:r>
        <w:t xml:space="preserve">“Structure and energetics of ligand binding to proteins:</w:t>
      </w:r>
      <w:r>
        <w:t xml:space="preserve"> </w:t>
      </w:r>
      <w:r>
        <w:t xml:space="preserve">Escherichia</w:t>
      </w:r>
      <w:r>
        <w:t xml:space="preserve"> </w:t>
      </w:r>
      <w:r>
        <w:t xml:space="preserve">coli dihydrofolate</w:t>
      </w:r>
      <w:r>
        <w:t xml:space="preserve"> </w:t>
      </w:r>
      <w:r>
        <w:t xml:space="preserve">Reductase</w:t>
      </w:r>
      <w:r>
        <w:t xml:space="preserve">-</w:t>
      </w:r>
      <w:r>
        <w:t xml:space="preserve">Trimethoprim</w:t>
      </w:r>
      <w:r>
        <w:t xml:space="preserve">, a</w:t>
      </w:r>
      <w:r>
        <w:t xml:space="preserve"> </w:t>
      </w:r>
      <w:r>
        <w:t xml:space="preserve">Drug</w:t>
      </w:r>
      <w:r>
        <w:t xml:space="preserve">-</w:t>
      </w:r>
      <w:r>
        <w:t xml:space="preserve">Receptor</w:t>
      </w:r>
      <w:r>
        <w:t xml:space="preserve"> </w:t>
      </w:r>
      <w:r>
        <w:t xml:space="preserve">system,”</w:t>
      </w:r>
      <w:r>
        <w:t xml:space="preserve"> </w:t>
      </w:r>
      <w:r>
        <w:rPr>
          <w:iCs/>
          <w:i/>
        </w:rPr>
        <w:t xml:space="preserve">Proteins: Struct., Funct., Bioinf.</w:t>
      </w:r>
      <w:r>
        <w:t xml:space="preserve">, vol. 4, no. 1, pp. 31–47, 1988.</w:t>
      </w:r>
    </w:p>
    <w:bookmarkEnd w:id="161"/>
    <w:bookmarkStart w:id="163" w:name="ref-xuSolvationForceSimulations2014"/>
    <w:p>
      <w:pPr>
        <w:pStyle w:val="Bibliography"/>
      </w:pPr>
      <w:r>
        <w:t xml:space="preserve">[39]</w:t>
      </w:r>
      <w:r>
        <w:t xml:space="preserve"> </w:t>
      </w:r>
      <w:r>
        <w:t xml:space="preserve">	</w:t>
      </w:r>
      <w:r>
        <w:t xml:space="preserve">R.-G. Xu and Y. Leng,</w:t>
      </w:r>
      <w:r>
        <w:t xml:space="preserve"> </w:t>
      </w:r>
      <w:r>
        <w:t xml:space="preserve">“Solvation force simulations in atomic force microscopy,”</w:t>
      </w:r>
      <w:r>
        <w:t xml:space="preserve"> </w:t>
      </w:r>
      <w:r>
        <w:rPr>
          <w:iCs/>
          <w:i/>
        </w:rPr>
        <w:t xml:space="preserve">The Journal of Chemical Physics</w:t>
      </w:r>
      <w:r>
        <w:t xml:space="preserve">, vol. 140, no. 21, p. 214702, Jun. 2014, doi:</w:t>
      </w:r>
      <w:r>
        <w:t xml:space="preserve"> </w:t>
      </w:r>
      <w:hyperlink r:id="rId162">
        <w:r>
          <w:rPr>
            <w:rStyle w:val="Hyperlink"/>
          </w:rPr>
          <w:t xml:space="preserve">10.1063/1.4879657</w:t>
        </w:r>
      </w:hyperlink>
      <w:r>
        <w:t xml:space="preserve">.</w:t>
      </w:r>
    </w:p>
    <w:bookmarkEnd w:id="163"/>
    <w:bookmarkStart w:id="165" w:name="ref-pillaiCapturePerformancesHybrid2017"/>
    <w:p>
      <w:pPr>
        <w:pStyle w:val="Bibliography"/>
      </w:pPr>
      <w:r>
        <w:t xml:space="preserve">[40]</w:t>
      </w:r>
      <w:r>
        <w:t xml:space="preserve"> </w:t>
      </w:r>
      <w:r>
        <w:t xml:space="preserve">	</w:t>
      </w:r>
      <w:r>
        <w:t xml:space="preserve">R. S. Pillai</w:t>
      </w:r>
      <w:r>
        <w:t xml:space="preserve"> </w:t>
      </w:r>
      <w:r>
        <w:rPr>
          <w:iCs/>
          <w:i/>
        </w:rPr>
        <w:t xml:space="preserve">et al.</w:t>
      </w:r>
      <w:r>
        <w:t xml:space="preserve">,</w:t>
      </w:r>
      <w:r>
        <w:t xml:space="preserve"> </w:t>
      </w:r>
      <w:r>
        <w:t xml:space="preserve">“N</w:t>
      </w:r>
      <w:r>
        <w:t xml:space="preserve"> </w:t>
      </w:r>
      <w:r>
        <w:rPr>
          <w:vertAlign w:val="subscript"/>
        </w:rPr>
        <w:t xml:space="preserve">2</w:t>
      </w:r>
      <w:r>
        <w:t xml:space="preserve"> </w:t>
      </w:r>
      <w:r>
        <w:t xml:space="preserve">Capture Performances</w:t>
      </w:r>
      <w:r>
        <w:t xml:space="preserve"> </w:t>
      </w:r>
      <w:r>
        <w:t xml:space="preserve">of the</w:t>
      </w:r>
      <w:r>
        <w:t xml:space="preserve"> </w:t>
      </w:r>
      <w:r>
        <w:t xml:space="preserve">Hybrid Porous MIL</w:t>
      </w:r>
      <w:r>
        <w:t xml:space="preserve">-101(</w:t>
      </w:r>
      <w:r>
        <w:t xml:space="preserve">Cr</w:t>
      </w:r>
      <w:r>
        <w:t xml:space="preserve">):</w:t>
      </w:r>
      <w:r>
        <w:t xml:space="preserve"> </w:t>
      </w:r>
      <w:r>
        <w:t xml:space="preserve">From Prediction</w:t>
      </w:r>
      <w:r>
        <w:t xml:space="preserve"> </w:t>
      </w:r>
      <w:r>
        <w:t xml:space="preserve">toward</w:t>
      </w:r>
      <w:r>
        <w:t xml:space="preserve"> </w:t>
      </w:r>
      <w:r>
        <w:t xml:space="preserve">Experimental Testing</w:t>
      </w:r>
      <w:r>
        <w:t xml:space="preserve">,”</w:t>
      </w:r>
      <w:r>
        <w:t xml:space="preserve"> </w:t>
      </w:r>
      <w:r>
        <w:rPr>
          <w:iCs/>
          <w:i/>
        </w:rPr>
        <w:t xml:space="preserve">J. Phys. Chem. C</w:t>
      </w:r>
      <w:r>
        <w:t xml:space="preserve">, vol. 121, no. 40, pp. 22130–22138, Oct. 2017, doi:</w:t>
      </w:r>
      <w:r>
        <w:t xml:space="preserve"> </w:t>
      </w:r>
      <w:hyperlink r:id="rId164">
        <w:r>
          <w:rPr>
            <w:rStyle w:val="Hyperlink"/>
          </w:rPr>
          <w:t xml:space="preserve">10.1021/acs.jpcc.7b07029</w:t>
        </w:r>
      </w:hyperlink>
      <w:r>
        <w:t xml:space="preserve">.</w:t>
      </w:r>
    </w:p>
    <w:bookmarkEnd w:id="165"/>
    <w:bookmarkStart w:id="167" w:name="ref-fengHighlyStableZeotype2015"/>
    <w:p>
      <w:pPr>
        <w:pStyle w:val="Bibliography"/>
      </w:pPr>
      <w:r>
        <w:t xml:space="preserve">[41]</w:t>
      </w:r>
      <w:r>
        <w:t xml:space="preserve"> </w:t>
      </w:r>
      <w:r>
        <w:t xml:space="preserve">	</w:t>
      </w:r>
      <w:r>
        <w:t xml:space="preserve">D. Feng</w:t>
      </w:r>
      <w:r>
        <w:t xml:space="preserve"> </w:t>
      </w:r>
      <w:r>
        <w:rPr>
          <w:iCs/>
          <w:i/>
        </w:rPr>
        <w:t xml:space="preserve">et al.</w:t>
      </w:r>
      <w:r>
        <w:t xml:space="preserve">,</w:t>
      </w:r>
      <w:r>
        <w:t xml:space="preserve"> </w:t>
      </w:r>
      <w:r>
        <w:t xml:space="preserve">“A</w:t>
      </w:r>
      <w:r>
        <w:t xml:space="preserve"> </w:t>
      </w:r>
      <w:r>
        <w:t xml:space="preserve">Highly Stable Zeotype Mesoporous Zirconium Metal</w:t>
      </w:r>
      <w:r>
        <w:t xml:space="preserve">-</w:t>
      </w:r>
      <w:r>
        <w:t xml:space="preserve">Organic Framework</w:t>
      </w:r>
      <w:r>
        <w:t xml:space="preserve"> </w:t>
      </w:r>
      <w:r>
        <w:t xml:space="preserve">with</w:t>
      </w:r>
      <w:r>
        <w:t xml:space="preserve"> </w:t>
      </w:r>
      <w:r>
        <w:t xml:space="preserve">Ultralarge Pores</w:t>
      </w:r>
      <w:r>
        <w:t xml:space="preserve">,”</w:t>
      </w:r>
      <w:r>
        <w:t xml:space="preserve"> </w:t>
      </w:r>
      <w:r>
        <w:rPr>
          <w:iCs/>
          <w:i/>
        </w:rPr>
        <w:t xml:space="preserve">Angew. Chem. Int. Ed.</w:t>
      </w:r>
      <w:r>
        <w:t xml:space="preserve">, vol. 54, no. 1, pp. 149–154, Jan. 2015, doi:</w:t>
      </w:r>
      <w:r>
        <w:t xml:space="preserve"> </w:t>
      </w:r>
      <w:hyperlink r:id="rId166">
        <w:r>
          <w:rPr>
            <w:rStyle w:val="Hyperlink"/>
          </w:rPr>
          <w:t xml:space="preserve">10.1002/anie.201409334</w:t>
        </w:r>
      </w:hyperlink>
      <w:r>
        <w:t xml:space="preserve">.</w:t>
      </w:r>
    </w:p>
    <w:bookmarkEnd w:id="167"/>
    <w:bookmarkStart w:id="169" w:name="ref-iacomiPyGAPSPythonbasedFramework2019"/>
    <w:p>
      <w:pPr>
        <w:pStyle w:val="Bibliography"/>
      </w:pPr>
      <w:r>
        <w:t xml:space="preserve">[42]</w:t>
      </w:r>
      <w:r>
        <w:t xml:space="preserve"> </w:t>
      </w:r>
      <w:r>
        <w:t xml:space="preserve">	</w:t>
      </w:r>
      <w:r>
        <w:t xml:space="preserve">P. Iacomi and P. L. Llewellyn,</w:t>
      </w:r>
      <w:r>
        <w:t xml:space="preserve"> </w:t>
      </w:r>
      <w:r>
        <w:t xml:space="preserve">“</w:t>
      </w:r>
      <w:r>
        <w:t xml:space="preserve">pyGAPS</w:t>
      </w:r>
      <w:r>
        <w:t xml:space="preserve">: A</w:t>
      </w:r>
      <w:r>
        <w:t xml:space="preserve"> </w:t>
      </w:r>
      <w:r>
        <w:t xml:space="preserve">Python</w:t>
      </w:r>
      <w:r>
        <w:t xml:space="preserve">-based framework for adsorption isotherm processing and material characterisation,”</w:t>
      </w:r>
      <w:r>
        <w:t xml:space="preserve"> </w:t>
      </w:r>
      <w:r>
        <w:rPr>
          <w:iCs/>
          <w:i/>
        </w:rPr>
        <w:t xml:space="preserve">Adsorption</w:t>
      </w:r>
      <w:r>
        <w:t xml:space="preserve">, vol. 25, no. 8, pp. 1533–1542, Sep. 2019, doi:</w:t>
      </w:r>
      <w:r>
        <w:t xml:space="preserve"> </w:t>
      </w:r>
      <w:hyperlink r:id="rId168">
        <w:r>
          <w:rPr>
            <w:rStyle w:val="Hyperlink"/>
          </w:rPr>
          <w:t xml:space="preserve">10.1007/s10450-019-00168-5</w:t>
        </w:r>
      </w:hyperlink>
      <w:r>
        <w:t xml:space="preserve">.</w:t>
      </w:r>
    </w:p>
    <w:bookmarkEnd w:id="169"/>
    <w:bookmarkStart w:id="171" w:name="ref-burtchWaterStabilityAdsorption2014"/>
    <w:p>
      <w:pPr>
        <w:pStyle w:val="Bibliography"/>
      </w:pPr>
      <w:r>
        <w:t xml:space="preserve">[43]</w:t>
      </w:r>
      <w:r>
        <w:t xml:space="preserve"> </w:t>
      </w:r>
      <w:r>
        <w:t xml:space="preserve">	</w:t>
      </w:r>
      <w:r>
        <w:t xml:space="preserve">N. C. Burtch, H. Jasuja, and K. S. Walton,</w:t>
      </w:r>
      <w:r>
        <w:t xml:space="preserve"> </w:t>
      </w:r>
      <w:r>
        <w:t xml:space="preserve">“Water</w:t>
      </w:r>
      <w:r>
        <w:t xml:space="preserve"> </w:t>
      </w:r>
      <w:r>
        <w:t xml:space="preserve">Stability</w:t>
      </w:r>
      <w:r>
        <w:t xml:space="preserve"> </w:t>
      </w:r>
      <w:r>
        <w:t xml:space="preserve">and</w:t>
      </w:r>
      <w:r>
        <w:t xml:space="preserve"> </w:t>
      </w:r>
      <w:r>
        <w:t xml:space="preserve">Adsorption</w:t>
      </w:r>
      <w:r>
        <w:t xml:space="preserve"> </w:t>
      </w:r>
      <w:r>
        <w:t xml:space="preserve">in</w:t>
      </w:r>
      <w:r>
        <w:t xml:space="preserve"> </w:t>
      </w:r>
      <w:r>
        <w:t xml:space="preserve">Metal</w:t>
      </w:r>
      <w:r>
        <w:t xml:space="preserve">Organic Frameworks</w:t>
      </w:r>
      <w:r>
        <w:t xml:space="preserve">,”</w:t>
      </w:r>
      <w:r>
        <w:t xml:space="preserve"> </w:t>
      </w:r>
      <w:r>
        <w:rPr>
          <w:iCs/>
          <w:i/>
        </w:rPr>
        <w:t xml:space="preserve">Chemical Reviews</w:t>
      </w:r>
      <w:r>
        <w:t xml:space="preserve">, vol. 114, no. 20, pp. 10575–10612, Oct. 2014, doi:</w:t>
      </w:r>
      <w:r>
        <w:t xml:space="preserve"> </w:t>
      </w:r>
      <w:hyperlink r:id="rId170">
        <w:r>
          <w:rPr>
            <w:rStyle w:val="Hyperlink"/>
          </w:rPr>
          <w:t xml:space="preserve">10.1021/cr5002589</w:t>
        </w:r>
      </w:hyperlink>
      <w:r>
        <w:t xml:space="preserve">.</w:t>
      </w:r>
    </w:p>
    <w:bookmarkEnd w:id="171"/>
    <w:bookmarkStart w:id="172" w:name="ref-wuEnhancingStabilityMetalorganic2010"/>
    <w:p>
      <w:pPr>
        <w:pStyle w:val="Bibliography"/>
      </w:pPr>
      <w:r>
        <w:t xml:space="preserve">[44]</w:t>
      </w:r>
      <w:r>
        <w:t xml:space="preserve"> </w:t>
      </w:r>
      <w:r>
        <w:t xml:space="preserve">	</w:t>
      </w:r>
      <w:r>
        <w:t xml:space="preserve">T. Wu</w:t>
      </w:r>
      <w:r>
        <w:t xml:space="preserve"> </w:t>
      </w:r>
      <w:r>
        <w:rPr>
          <w:iCs/>
          <w:i/>
        </w:rPr>
        <w:t xml:space="preserve">et al.</w:t>
      </w:r>
      <w:r>
        <w:t xml:space="preserve">,</w:t>
      </w:r>
      <w:r>
        <w:t xml:space="preserve"> </w:t>
      </w:r>
      <w:r>
        <w:t xml:space="preserve">“Enhancing the stability of metal-organic frameworks in humid air by incorporating water repellent functional groups,”</w:t>
      </w:r>
      <w:r>
        <w:t xml:space="preserve"> </w:t>
      </w:r>
      <w:r>
        <w:rPr>
          <w:iCs/>
          <w:i/>
        </w:rPr>
        <w:t xml:space="preserve">Chem. Commun.</w:t>
      </w:r>
      <w:r>
        <w:t xml:space="preserve">, vol. 46, no. 33, pp. 6120–6122, 2010.</w:t>
      </w:r>
    </w:p>
    <w:bookmarkEnd w:id="172"/>
    <w:bookmarkStart w:id="174" w:name="X45d27c7ed2ea1608a50c470991b9649e11bb3ef"/>
    <w:p>
      <w:pPr>
        <w:pStyle w:val="Bibliography"/>
      </w:pPr>
      <w:r>
        <w:t xml:space="preserve">[45]</w:t>
      </w:r>
      <w:r>
        <w:t xml:space="preserve"> </w:t>
      </w:r>
      <w:r>
        <w:t xml:space="preserve">	</w:t>
      </w:r>
      <w:r>
        <w:t xml:space="preserve">I. Matito-Martos</w:t>
      </w:r>
      <w:r>
        <w:t xml:space="preserve"> </w:t>
      </w:r>
      <w:r>
        <w:rPr>
          <w:iCs/>
          <w:i/>
        </w:rPr>
        <w:t xml:space="preserve">et al.</w:t>
      </w:r>
      <w:r>
        <w:t xml:space="preserve">,</w:t>
      </w:r>
      <w:r>
        <w:t xml:space="preserve"> </w:t>
      </w:r>
      <w:r>
        <w:t xml:space="preserve">“Discovery of an</w:t>
      </w:r>
      <w:r>
        <w:t xml:space="preserve"> </w:t>
      </w:r>
      <w:r>
        <w:t xml:space="preserve">Optimal Porous Crystalline Material</w:t>
      </w:r>
      <w:r>
        <w:t xml:space="preserve"> </w:t>
      </w:r>
      <w:r>
        <w:t xml:space="preserve">for the</w:t>
      </w:r>
      <w:r>
        <w:t xml:space="preserve"> </w:t>
      </w:r>
      <w:r>
        <w:t xml:space="preserve">Capture</w:t>
      </w:r>
      <w:r>
        <w:t xml:space="preserve"> </w:t>
      </w:r>
      <w:r>
        <w:t xml:space="preserve">of</w:t>
      </w:r>
      <w:r>
        <w:t xml:space="preserve"> </w:t>
      </w:r>
      <w:r>
        <w:t xml:space="preserve">Chemical Warfare Agents</w:t>
      </w:r>
      <w:r>
        <w:t xml:space="preserve">,”</w:t>
      </w:r>
      <w:r>
        <w:t xml:space="preserve"> </w:t>
      </w:r>
      <w:r>
        <w:rPr>
          <w:iCs/>
          <w:i/>
        </w:rPr>
        <w:t xml:space="preserve">Chem. Mater.</w:t>
      </w:r>
      <w:r>
        <w:t xml:space="preserve">, vol. 30, no. 14, pp. 4571–4579, Jul. 2018, doi:</w:t>
      </w:r>
      <w:r>
        <w:t xml:space="preserve"> </w:t>
      </w:r>
      <w:hyperlink r:id="rId173">
        <w:r>
          <w:rPr>
            <w:rStyle w:val="Hyperlink"/>
          </w:rPr>
          <w:t xml:space="preserve">10.1021/acs.chemmater.8b00843</w:t>
        </w:r>
      </w:hyperlink>
      <w:r>
        <w:t xml:space="preserve">.</w:t>
      </w:r>
    </w:p>
    <w:bookmarkEnd w:id="174"/>
    <w:bookmarkStart w:id="175" w:name="ref-lemmonNISTStandardReference2018"/>
    <w:p>
      <w:pPr>
        <w:pStyle w:val="Bibliography"/>
      </w:pPr>
      <w:r>
        <w:t xml:space="preserve">[46]</w:t>
      </w:r>
      <w:r>
        <w:t xml:space="preserve"> </w:t>
      </w:r>
      <w:r>
        <w:t xml:space="preserve">	</w:t>
      </w:r>
      <w:r>
        <w:t xml:space="preserve">E. W. Lemmon, I. H. Bell, M. L. Huber, and M. O. McLinden,</w:t>
      </w:r>
      <w:r>
        <w:t xml:space="preserve"> </w:t>
      </w:r>
      <w:r>
        <w:t xml:space="preserve">“</w:t>
      </w:r>
      <w:r>
        <w:t xml:space="preserve">NIST</w:t>
      </w:r>
      <w:r>
        <w:t xml:space="preserve"> </w:t>
      </w:r>
      <w:r>
        <w:t xml:space="preserve">standard reference database 23:</w:t>
      </w:r>
      <w:r>
        <w:t xml:space="preserve"> </w:t>
      </w:r>
      <w:r>
        <w:t xml:space="preserve">Reference</w:t>
      </w:r>
      <w:r>
        <w:t xml:space="preserve"> </w:t>
      </w:r>
      <w:r>
        <w:t xml:space="preserve">fluid thermodynamic and transport properties-refprop, version 10.0, national institute of standards and technology.”</w:t>
      </w:r>
      <w:r>
        <w:t xml:space="preserve"> </w:t>
      </w:r>
      <w:r>
        <w:t xml:space="preserve">2018.</w:t>
      </w:r>
    </w:p>
    <w:bookmarkEnd w:id="175"/>
    <w:bookmarkStart w:id="176" w:name="X01390f9e138a0fe7241ebac2df8586fc8597eb2"/>
    <w:p>
      <w:pPr>
        <w:pStyle w:val="Bibliography"/>
      </w:pPr>
      <w:r>
        <w:t xml:space="preserve">[47]</w:t>
      </w:r>
      <w:r>
        <w:t xml:space="preserve"> </w:t>
      </w:r>
      <w:r>
        <w:t xml:space="preserve">	</w:t>
      </w:r>
      <w:r>
        <w:t xml:space="preserve">P. Z. Moghadam, D. Fairen-Jimenez, and R. Q. Snurr,</w:t>
      </w:r>
      <w:r>
        <w:t xml:space="preserve"> </w:t>
      </w:r>
      <w:r>
        <w:t xml:space="preserve">“Efficient identification of hydrophobic</w:t>
      </w:r>
      <w:r>
        <w:t xml:space="preserve"> </w:t>
      </w:r>
      <w:r>
        <w:t xml:space="preserve">MOFs</w:t>
      </w:r>
      <w:r>
        <w:t xml:space="preserve">:</w:t>
      </w:r>
      <w:r>
        <w:t xml:space="preserve"> </w:t>
      </w:r>
      <w:r>
        <w:t xml:space="preserve">Application</w:t>
      </w:r>
      <w:r>
        <w:t xml:space="preserve"> </w:t>
      </w:r>
      <w:r>
        <w:t xml:space="preserve">in the capture of toxic industrial chemicals,”</w:t>
      </w:r>
      <w:r>
        <w:t xml:space="preserve"> </w:t>
      </w:r>
      <w:r>
        <w:rPr>
          <w:iCs/>
          <w:i/>
        </w:rPr>
        <w:t xml:space="preserve">J. Mater. Chem. A</w:t>
      </w:r>
      <w:r>
        <w:t xml:space="preserve">, vol. 4, no. 2, pp. 529–536, 2016.</w:t>
      </w:r>
    </w:p>
    <w:bookmarkEnd w:id="176"/>
    <w:bookmarkStart w:id="178" w:name="ref-rahbariRecentAdvancesContinuous2020"/>
    <w:p>
      <w:pPr>
        <w:pStyle w:val="Bibliography"/>
      </w:pPr>
      <w:r>
        <w:t xml:space="preserve">[48]</w:t>
      </w:r>
      <w:r>
        <w:t xml:space="preserve"> </w:t>
      </w:r>
      <w:r>
        <w:t xml:space="preserve">	</w:t>
      </w:r>
      <w:r>
        <w:t xml:space="preserve">A. Rahbari, R. Hens, M. Ramdin, O. A. Moultos, D. Dubbeldam, and T. J. H. Vlugt,</w:t>
      </w:r>
      <w:r>
        <w:t xml:space="preserve"> </w:t>
      </w:r>
      <w:r>
        <w:t xml:space="preserve">“Recent advances in the continuous fractional component</w:t>
      </w:r>
      <w:r>
        <w:t xml:space="preserve"> </w:t>
      </w:r>
      <w:r>
        <w:t xml:space="preserve">Monte Carlo</w:t>
      </w:r>
      <w:r>
        <w:t xml:space="preserve"> </w:t>
      </w:r>
      <w:r>
        <w:t xml:space="preserve">methodology,”</w:t>
      </w:r>
      <w:r>
        <w:t xml:space="preserve"> </w:t>
      </w:r>
      <w:r>
        <w:rPr>
          <w:iCs/>
          <w:i/>
        </w:rPr>
        <w:t xml:space="preserve">Molecular Simulation</w:t>
      </w:r>
      <w:r>
        <w:t xml:space="preserve">, pp. 1–20, Oct. 2020, doi:</w:t>
      </w:r>
      <w:r>
        <w:t xml:space="preserve"> </w:t>
      </w:r>
      <w:hyperlink r:id="rId177">
        <w:r>
          <w:rPr>
            <w:rStyle w:val="Hyperlink"/>
          </w:rPr>
          <w:t xml:space="preserve">10.1080/08927022.2020.1828585</w:t>
        </w:r>
      </w:hyperlink>
      <w:r>
        <w:t xml:space="preserve">.</w:t>
      </w:r>
    </w:p>
    <w:bookmarkEnd w:id="178"/>
    <w:bookmarkStart w:id="179" w:name="ref-allenCambridgeStructuralDatabase2002"/>
    <w:p>
      <w:pPr>
        <w:pStyle w:val="Bibliography"/>
      </w:pPr>
      <w:r>
        <w:t xml:space="preserve">[49]</w:t>
      </w:r>
      <w:r>
        <w:t xml:space="preserve"> </w:t>
      </w:r>
      <w:r>
        <w:t xml:space="preserve">	</w:t>
      </w:r>
      <w:r>
        <w:t xml:space="preserve">F. H. Allen,</w:t>
      </w:r>
      <w:r>
        <w:t xml:space="preserve"> </w:t>
      </w:r>
      <w:r>
        <w:t xml:space="preserve">“The cambridge structural database:</w:t>
      </w:r>
      <w:r>
        <w:t xml:space="preserve"> </w:t>
      </w:r>
      <w:r>
        <w:t xml:space="preserve">A</w:t>
      </w:r>
      <w:r>
        <w:t xml:space="preserve"> </w:t>
      </w:r>
      <w:r>
        <w:t xml:space="preserve">quarter of a million crystal structures and rising,”</w:t>
      </w:r>
      <w:r>
        <w:t xml:space="preserve"> </w:t>
      </w:r>
      <w:r>
        <w:rPr>
          <w:iCs/>
          <w:i/>
        </w:rPr>
        <w:t xml:space="preserve">Acta Crystallogr., Sect. B: Struct. Sci.</w:t>
      </w:r>
      <w:r>
        <w:t xml:space="preserve">, vol. 58, no. 3, pp. 380–388, 2002.</w:t>
      </w:r>
    </w:p>
    <w:bookmarkEnd w:id="179"/>
    <w:bookmarkStart w:id="180" w:name="ref-oisakiMetalOrganicFramework2010"/>
    <w:p>
      <w:pPr>
        <w:pStyle w:val="Bibliography"/>
      </w:pPr>
      <w:r>
        <w:t xml:space="preserve">[50]</w:t>
      </w:r>
      <w:r>
        <w:t xml:space="preserve"> </w:t>
      </w:r>
      <w:r>
        <w:t xml:space="preserve">	</w:t>
      </w:r>
      <w:r>
        <w:t xml:space="preserve">K. Oisaki, Q. Li, H. Furukawa, A. U. Czaja, and O. M. Yaghi,</w:t>
      </w:r>
      <w:r>
        <w:t xml:space="preserve"> </w:t>
      </w:r>
      <w:r>
        <w:t xml:space="preserve">“A</w:t>
      </w:r>
      <w:r>
        <w:t xml:space="preserve"> </w:t>
      </w:r>
      <w:r>
        <w:t xml:space="preserve">Metal</w:t>
      </w:r>
      <w:r>
        <w:t xml:space="preserve">-organic framework with covalently bound organometallic complexes,”</w:t>
      </w:r>
      <w:r>
        <w:t xml:space="preserve"> </w:t>
      </w:r>
      <w:r>
        <w:rPr>
          <w:iCs/>
          <w:i/>
        </w:rPr>
        <w:t xml:space="preserve">J. Am. Chem. Soc.</w:t>
      </w:r>
      <w:r>
        <w:t xml:space="preserve">, vol. 132, no. 27, pp. 9262–9264, 2010.</w:t>
      </w:r>
    </w:p>
    <w:bookmarkEnd w:id="180"/>
    <w:bookmarkStart w:id="182" w:name="Xf311ed7582200e13d1c9738fc14e7c45f00e48c"/>
    <w:p>
      <w:pPr>
        <w:pStyle w:val="Bibliography"/>
      </w:pPr>
      <w:r>
        <w:t xml:space="preserve">[51]</w:t>
      </w:r>
      <w:r>
        <w:t xml:space="preserve"> </w:t>
      </w:r>
      <w:r>
        <w:t xml:space="preserve">	</w:t>
      </w:r>
      <w:r>
        <w:t xml:space="preserve">H. Furukawa</w:t>
      </w:r>
      <w:r>
        <w:t xml:space="preserve"> </w:t>
      </w:r>
      <w:r>
        <w:rPr>
          <w:iCs/>
          <w:i/>
        </w:rPr>
        <w:t xml:space="preserve">et al.</w:t>
      </w:r>
      <w:r>
        <w:t xml:space="preserve">,</w:t>
      </w:r>
      <w:r>
        <w:t xml:space="preserve"> </w:t>
      </w:r>
      <w:r>
        <w:t xml:space="preserve">“Ultrahigh</w:t>
      </w:r>
      <w:r>
        <w:t xml:space="preserve"> </w:t>
      </w:r>
      <w:r>
        <w:t xml:space="preserve">Porosity</w:t>
      </w:r>
      <w:r>
        <w:t xml:space="preserve"> </w:t>
      </w:r>
      <w:r>
        <w:t xml:space="preserve">in</w:t>
      </w:r>
      <w:r>
        <w:t xml:space="preserve"> </w:t>
      </w:r>
      <w:r>
        <w:t xml:space="preserve">Metal</w:t>
      </w:r>
      <w:r>
        <w:t xml:space="preserve">-</w:t>
      </w:r>
      <w:r>
        <w:t xml:space="preserve">Organic Frameworks</w:t>
      </w:r>
      <w:r>
        <w:t xml:space="preserve">,”</w:t>
      </w:r>
      <w:r>
        <w:t xml:space="preserve"> </w:t>
      </w:r>
      <w:r>
        <w:rPr>
          <w:iCs/>
          <w:i/>
        </w:rPr>
        <w:t xml:space="preserve">Science</w:t>
      </w:r>
      <w:r>
        <w:t xml:space="preserve">, vol. 329, no. 5990, pp. 424–428, Jul. 2010, doi:</w:t>
      </w:r>
      <w:r>
        <w:t xml:space="preserve"> </w:t>
      </w:r>
      <w:hyperlink r:id="rId181">
        <w:r>
          <w:rPr>
            <w:rStyle w:val="Hyperlink"/>
          </w:rPr>
          <w:t xml:space="preserve">10.1126/science.1192160</w:t>
        </w:r>
      </w:hyperlink>
      <w:r>
        <w:t xml:space="preserve">.</w:t>
      </w:r>
    </w:p>
    <w:bookmarkEnd w:id="182"/>
    <w:bookmarkStart w:id="183" w:name="ref-wangUltrahighSurfaceArea2015"/>
    <w:p>
      <w:pPr>
        <w:pStyle w:val="Bibliography"/>
      </w:pPr>
      <w:r>
        <w:t xml:space="preserve">[52]</w:t>
      </w:r>
      <w:r>
        <w:t xml:space="preserve"> </w:t>
      </w:r>
      <w:r>
        <w:t xml:space="preserve">	</w:t>
      </w:r>
      <w:r>
        <w:t xml:space="preserve">T. C. Wang</w:t>
      </w:r>
      <w:r>
        <w:t xml:space="preserve"> </w:t>
      </w:r>
      <w:r>
        <w:rPr>
          <w:iCs/>
          <w:i/>
        </w:rPr>
        <w:t xml:space="preserve">et al.</w:t>
      </w:r>
      <w:r>
        <w:t xml:space="preserve">,</w:t>
      </w:r>
      <w:r>
        <w:t xml:space="preserve"> </w:t>
      </w:r>
      <w:r>
        <w:t xml:space="preserve">“Ultrahigh surface area zirconium</w:t>
      </w:r>
      <w:r>
        <w:t xml:space="preserve"> </w:t>
      </w:r>
      <w:r>
        <w:t xml:space="preserve">MOFs</w:t>
      </w:r>
      <w:r>
        <w:t xml:space="preserve"> </w:t>
      </w:r>
      <w:r>
        <w:t xml:space="preserve">and insights into the applicability of the</w:t>
      </w:r>
      <w:r>
        <w:t xml:space="preserve"> </w:t>
      </w:r>
      <w:r>
        <w:t xml:space="preserve">BET</w:t>
      </w:r>
      <w:r>
        <w:t xml:space="preserve"> </w:t>
      </w:r>
      <w:r>
        <w:t xml:space="preserve">theory,”</w:t>
      </w:r>
      <w:r>
        <w:t xml:space="preserve"> </w:t>
      </w:r>
      <w:r>
        <w:rPr>
          <w:iCs/>
          <w:i/>
        </w:rPr>
        <w:t xml:space="preserve">J. Am. Chem. Soc.</w:t>
      </w:r>
      <w:r>
        <w:t xml:space="preserve">, vol. 137, no. 10, pp. 3585–3591, 2015.</w:t>
      </w:r>
    </w:p>
    <w:bookmarkEnd w:id="183"/>
    <w:bookmarkStart w:id="184" w:name="Xbadcd6e2b9e1216cbb8bbf6b38ece16672f4cf2"/>
    <w:p>
      <w:pPr>
        <w:pStyle w:val="Bibliography"/>
      </w:pPr>
      <w:r>
        <w:t xml:space="preserve">[53]</w:t>
      </w:r>
      <w:r>
        <w:t xml:space="preserve"> </w:t>
      </w:r>
      <w:r>
        <w:t xml:space="preserve">	</w:t>
      </w:r>
      <w:r>
        <w:t xml:space="preserve">N. S. Bobbitt, J. Chen, and R. Q. Snurr,</w:t>
      </w:r>
      <w:r>
        <w:t xml:space="preserve"> </w:t>
      </w:r>
      <w:r>
        <w:t xml:space="preserve">“High-throughput screening of</w:t>
      </w:r>
      <w:r>
        <w:t xml:space="preserve"> </w:t>
      </w:r>
      <w:r>
        <w:t xml:space="preserve">Metal</w:t>
      </w:r>
      <w:r>
        <w:t xml:space="preserve">Organic</w:t>
      </w:r>
      <w:r>
        <w:t xml:space="preserve"> </w:t>
      </w:r>
      <w:r>
        <w:t xml:space="preserve">frameworks for hydrogen storage at cryogenic temperature,”</w:t>
      </w:r>
      <w:r>
        <w:t xml:space="preserve"> </w:t>
      </w:r>
      <w:r>
        <w:rPr>
          <w:iCs/>
          <w:i/>
        </w:rPr>
        <w:t xml:space="preserve">J. Phys. Chem. C</w:t>
      </w:r>
      <w:r>
        <w:t xml:space="preserve">, vol. 120, no. 48, pp. 27328–27341, 2016.</w:t>
      </w:r>
    </w:p>
    <w:bookmarkEnd w:id="184"/>
    <w:bookmarkStart w:id="185" w:name="X4d5ad48658c57347f5ecc3bd653b87dfb9bd288"/>
    <w:p>
      <w:pPr>
        <w:pStyle w:val="Bibliography"/>
      </w:pPr>
      <w:r>
        <w:t xml:space="preserve">[54]</w:t>
      </w:r>
      <w:r>
        <w:t xml:space="preserve"> </w:t>
      </w:r>
      <w:r>
        <w:t xml:space="preserve">	</w:t>
      </w:r>
      <w:r>
        <w:t xml:space="preserve">H. Liu, C. Xu, D. Li, and H.-L. Jiang,</w:t>
      </w:r>
      <w:r>
        <w:t xml:space="preserve"> </w:t>
      </w:r>
      <w:r>
        <w:t xml:space="preserve">“Photocatalytic hydrogen production coupled with selective benzylamine oxidation over</w:t>
      </w:r>
      <w:r>
        <w:t xml:space="preserve"> </w:t>
      </w:r>
      <w:r>
        <w:t xml:space="preserve">MOF</w:t>
      </w:r>
      <w:r>
        <w:t xml:space="preserve"> </w:t>
      </w:r>
      <w:r>
        <w:t xml:space="preserve">composites,”</w:t>
      </w:r>
      <w:r>
        <w:t xml:space="preserve"> </w:t>
      </w:r>
      <w:r>
        <w:rPr>
          <w:iCs/>
          <w:i/>
        </w:rPr>
        <w:t xml:space="preserve">Angew. Chem.</w:t>
      </w:r>
      <w:r>
        <w:t xml:space="preserve">, vol. 130, no. 19, pp. 5477–5481, 2018.</w:t>
      </w:r>
    </w:p>
    <w:bookmarkEnd w:id="185"/>
    <w:bookmarkStart w:id="187" w:name="ref-thommesPhysisorptionGasesSpecial2015"/>
    <w:p>
      <w:pPr>
        <w:pStyle w:val="Bibliography"/>
      </w:pPr>
      <w:r>
        <w:t xml:space="preserve">[55]</w:t>
      </w:r>
      <w:r>
        <w:t xml:space="preserve"> </w:t>
      </w:r>
      <w:r>
        <w:t xml:space="preserve">	</w:t>
      </w:r>
      <w:r>
        <w:t xml:space="preserve">M. Thommes</w:t>
      </w:r>
      <w:r>
        <w:t xml:space="preserve"> </w:t>
      </w:r>
      <w:r>
        <w:rPr>
          <w:iCs/>
          <w:i/>
        </w:rPr>
        <w:t xml:space="preserve">et al.</w:t>
      </w:r>
      <w:r>
        <w:t xml:space="preserve">,</w:t>
      </w:r>
      <w:r>
        <w:t xml:space="preserve"> </w:t>
      </w:r>
      <w:r>
        <w:t xml:space="preserve">“Physisorption of gases, with special reference to the evaluation of surface area and pore size distribution (</w:t>
      </w:r>
      <w:r>
        <w:t xml:space="preserve">IUPAC Technical Report</w:t>
      </w:r>
      <w:r>
        <w:t xml:space="preserve">),”</w:t>
      </w:r>
      <w:r>
        <w:t xml:space="preserve"> </w:t>
      </w:r>
      <w:r>
        <w:rPr>
          <w:iCs/>
          <w:i/>
        </w:rPr>
        <w:t xml:space="preserve">Pure and Applied Chemistry</w:t>
      </w:r>
      <w:r>
        <w:t xml:space="preserve">, vol. 87, no. 9–10, pp. 1051–1069, 2015, doi:</w:t>
      </w:r>
      <w:r>
        <w:t xml:space="preserve"> </w:t>
      </w:r>
      <w:hyperlink r:id="rId186">
        <w:r>
          <w:rPr>
            <w:rStyle w:val="Hyperlink"/>
          </w:rPr>
          <w:t xml:space="preserve">10.1515/pac-2014-1117</w:t>
        </w:r>
      </w:hyperlink>
      <w:r>
        <w:t xml:space="preserve">.</w:t>
      </w:r>
    </w:p>
    <w:bookmarkEnd w:id="187"/>
    <w:bookmarkStart w:id="189" w:name="X979d953b81a2c50b9c5b652de00ef8716a8a2e2"/>
    <w:p>
      <w:pPr>
        <w:pStyle w:val="Bibliography"/>
      </w:pPr>
      <w:r>
        <w:t xml:space="preserve">[56]</w:t>
      </w:r>
      <w:r>
        <w:t xml:space="preserve"> </w:t>
      </w:r>
      <w:r>
        <w:t xml:space="preserve">	</w:t>
      </w:r>
      <w:r>
        <w:t xml:space="preserve">A. P. Nelson, O. K. Farha, K. L. Mulfort, and J. T. Hupp,</w:t>
      </w:r>
      <w:r>
        <w:t xml:space="preserve"> </w:t>
      </w:r>
      <w:r>
        <w:t xml:space="preserve">“Supercritical</w:t>
      </w:r>
      <w:r>
        <w:t xml:space="preserve"> </w:t>
      </w:r>
      <w:r>
        <w:t xml:space="preserve">Processing</w:t>
      </w:r>
      <w:r>
        <w:t xml:space="preserve"> </w:t>
      </w:r>
      <w:r>
        <w:t xml:space="preserve">as a</w:t>
      </w:r>
      <w:r>
        <w:t xml:space="preserve"> </w:t>
      </w:r>
      <w:r>
        <w:t xml:space="preserve">Route</w:t>
      </w:r>
      <w:r>
        <w:t xml:space="preserve"> </w:t>
      </w:r>
      <w:r>
        <w:t xml:space="preserve">to</w:t>
      </w:r>
      <w:r>
        <w:t xml:space="preserve"> </w:t>
      </w:r>
      <w:r>
        <w:t xml:space="preserve">High Internal Surface Areas</w:t>
      </w:r>
      <w:r>
        <w:t xml:space="preserve"> </w:t>
      </w:r>
      <w:r>
        <w:t xml:space="preserve">and</w:t>
      </w:r>
      <w:r>
        <w:t xml:space="preserve"> </w:t>
      </w:r>
      <w:r>
        <w:t xml:space="preserve">Permanent Microporosity</w:t>
      </w:r>
      <w:r>
        <w:t xml:space="preserve"> </w:t>
      </w:r>
      <w:r>
        <w:t xml:space="preserve">in</w:t>
      </w:r>
      <w:r>
        <w:t xml:space="preserve"> </w:t>
      </w:r>
      <w:r>
        <w:t xml:space="preserve">Metal</w:t>
      </w:r>
      <w:r>
        <w:t xml:space="preserve">-</w:t>
      </w:r>
      <w:r>
        <w:t xml:space="preserve">Organic Framework Materials</w:t>
      </w:r>
      <w:r>
        <w:t xml:space="preserve">,”</w:t>
      </w:r>
      <w:r>
        <w:t xml:space="preserve"> </w:t>
      </w:r>
      <w:r>
        <w:rPr>
          <w:iCs/>
          <w:i/>
        </w:rPr>
        <w:t xml:space="preserve">Journal of the American Chemical Society</w:t>
      </w:r>
      <w:r>
        <w:t xml:space="preserve">, vol. 131, no. 2, pp. 458–460, Jan. 2009, doi:</w:t>
      </w:r>
      <w:r>
        <w:t xml:space="preserve"> </w:t>
      </w:r>
      <w:hyperlink r:id="rId188">
        <w:r>
          <w:rPr>
            <w:rStyle w:val="Hyperlink"/>
          </w:rPr>
          <w:t xml:space="preserve">10.1021/ja808853q</w:t>
        </w:r>
      </w:hyperlink>
      <w:r>
        <w:t xml:space="preserve">.</w:t>
      </w:r>
    </w:p>
    <w:bookmarkEnd w:id="189"/>
    <w:bookmarkStart w:id="190" w:name="ref-parkCrystalStructureGuest2007"/>
    <w:p>
      <w:pPr>
        <w:pStyle w:val="Bibliography"/>
      </w:pPr>
      <w:r>
        <w:t xml:space="preserve">[57]</w:t>
      </w:r>
      <w:r>
        <w:t xml:space="preserve"> </w:t>
      </w:r>
      <w:r>
        <w:t xml:space="preserve">	</w:t>
      </w:r>
      <w:r>
        <w:t xml:space="preserve">Y. K. Park</w:t>
      </w:r>
      <w:r>
        <w:t xml:space="preserve"> </w:t>
      </w:r>
      <w:r>
        <w:rPr>
          <w:iCs/>
          <w:i/>
        </w:rPr>
        <w:t xml:space="preserve">et al.</w:t>
      </w:r>
      <w:r>
        <w:t xml:space="preserve">,</w:t>
      </w:r>
      <w:r>
        <w:t xml:space="preserve"> </w:t>
      </w:r>
      <w:r>
        <w:t xml:space="preserve">“Crystal structure and guest uptake of a mesoporous metal-organic framework containing cages of 3.9 and 4.7 nm in diameter,”</w:t>
      </w:r>
      <w:r>
        <w:t xml:space="preserve"> </w:t>
      </w:r>
      <w:r>
        <w:rPr>
          <w:iCs/>
          <w:i/>
        </w:rPr>
        <w:t xml:space="preserve">Angew. Chem., Int. Ed.</w:t>
      </w:r>
      <w:r>
        <w:t xml:space="preserve">, vol. 46, no. 43, pp. 8230–8233, 2007.</w:t>
      </w:r>
    </w:p>
    <w:bookmarkEnd w:id="190"/>
    <w:bookmarkStart w:id="191" w:name="ref-rouquerolAdsorptionPowdersPorous2013"/>
    <w:p>
      <w:pPr>
        <w:pStyle w:val="Bibliography"/>
      </w:pPr>
      <w:r>
        <w:t xml:space="preserve">[58]</w:t>
      </w:r>
      <w:r>
        <w:t xml:space="preserve"> </w:t>
      </w:r>
      <w:r>
        <w:t xml:space="preserve">	</w:t>
      </w:r>
      <w:r>
        <w:t xml:space="preserve">J. Rouquerol, F. Rouquerol, P. L. Llewellyn, G. Maurin, and K. Sing,</w:t>
      </w:r>
      <w:r>
        <w:t xml:space="preserve"> </w:t>
      </w:r>
      <w:r>
        <w:rPr>
          <w:iCs/>
          <w:i/>
        </w:rPr>
        <w:t xml:space="preserve">Adsorption by powders and porous solids : Principles, methodology and applications</w:t>
      </w:r>
      <w:r>
        <w:t xml:space="preserve">. 2013.</w:t>
      </w:r>
    </w:p>
    <w:bookmarkEnd w:id="191"/>
    <w:bookmarkStart w:id="193" w:name="X407bd9ef9fb5eb381adefc197dc6ce6bcb10191"/>
    <w:p>
      <w:pPr>
        <w:pStyle w:val="Bibliography"/>
      </w:pPr>
      <w:r>
        <w:t xml:space="preserve">[59]</w:t>
      </w:r>
      <w:r>
        <w:t xml:space="preserve"> </w:t>
      </w:r>
      <w:r>
        <w:t xml:space="preserve">	</w:t>
      </w:r>
      <w:r>
        <w:t xml:space="preserve">J. P. Perdew, K. Burke, and M. Ernzerhof,</w:t>
      </w:r>
      <w:r>
        <w:t xml:space="preserve"> </w:t>
      </w:r>
      <w:r>
        <w:t xml:space="preserve">“Generalized</w:t>
      </w:r>
      <w:r>
        <w:t xml:space="preserve"> </w:t>
      </w:r>
      <w:r>
        <w:t xml:space="preserve">Gradient Approximation Made Simple</w:t>
      </w:r>
      <w:r>
        <w:t xml:space="preserve">,”</w:t>
      </w:r>
      <w:r>
        <w:t xml:space="preserve"> </w:t>
      </w:r>
      <w:r>
        <w:rPr>
          <w:iCs/>
          <w:i/>
        </w:rPr>
        <w:t xml:space="preserve">Physical Review Letters</w:t>
      </w:r>
      <w:r>
        <w:t xml:space="preserve">, vol. 77, no. 18, pp. 3865–3868, Oct. 1996, doi:</w:t>
      </w:r>
      <w:r>
        <w:t xml:space="preserve"> </w:t>
      </w:r>
      <w:hyperlink r:id="rId192">
        <w:r>
          <w:rPr>
            <w:rStyle w:val="Hyperlink"/>
          </w:rPr>
          <w:t xml:space="preserve">10.1103/PhysRevLett.77.3865</w:t>
        </w:r>
      </w:hyperlink>
      <w:r>
        <w:t xml:space="preserve">.</w:t>
      </w:r>
    </w:p>
    <w:bookmarkEnd w:id="193"/>
    <w:bookmarkStart w:id="194" w:name="X36e9b9f76db5bc7abd773beb5c4cb2f7a3b2dac"/>
    <w:p>
      <w:pPr>
        <w:pStyle w:val="Bibliography"/>
      </w:pPr>
      <w:r>
        <w:t xml:space="preserve">[60]</w:t>
      </w:r>
      <w:r>
        <w:t xml:space="preserve"> </w:t>
      </w:r>
      <w:r>
        <w:t xml:space="preserve">	</w:t>
      </w:r>
      <w:r>
        <w:t xml:space="preserve">W. J. Hehre, R. Ditchfield, and J. A. Pople,</w:t>
      </w:r>
      <w:r>
        <w:t xml:space="preserve"> </w:t>
      </w:r>
      <w:r>
        <w:t xml:space="preserve">“Self-consistent molecular orbital methods.</w:t>
      </w:r>
      <w:r>
        <w:t xml:space="preserve"> </w:t>
      </w:r>
      <w:r>
        <w:t xml:space="preserve">XII</w:t>
      </w:r>
      <w:r>
        <w:t xml:space="preserve">.</w:t>
      </w:r>
      <w:r>
        <w:t xml:space="preserve"> </w:t>
      </w:r>
      <w:r>
        <w:t xml:space="preserve">Further</w:t>
      </w:r>
      <w:r>
        <w:t xml:space="preserve"> </w:t>
      </w:r>
      <w:r>
        <w:t xml:space="preserve">extensions of gaussian-type basis sets for use in molecular orbital studies of organic molecules,”</w:t>
      </w:r>
      <w:r>
        <w:t xml:space="preserve"> </w:t>
      </w:r>
      <w:r>
        <w:rPr>
          <w:iCs/>
          <w:i/>
        </w:rPr>
        <w:t xml:space="preserve">J. Chem. Phys.</w:t>
      </w:r>
      <w:r>
        <w:t xml:space="preserve">, vol. 56, no. 5, pp. 2257–2261, 1972.</w:t>
      </w:r>
    </w:p>
    <w:bookmarkEnd w:id="194"/>
    <w:bookmarkStart w:id="195" w:name="ref-delleyAllElectronNumerical1990"/>
    <w:p>
      <w:pPr>
        <w:pStyle w:val="Bibliography"/>
      </w:pPr>
      <w:r>
        <w:t xml:space="preserve">[61]</w:t>
      </w:r>
      <w:r>
        <w:t xml:space="preserve"> </w:t>
      </w:r>
      <w:r>
        <w:t xml:space="preserve">	</w:t>
      </w:r>
      <w:r>
        <w:t xml:space="preserve">B. Delley,</w:t>
      </w:r>
      <w:r>
        <w:t xml:space="preserve"> </w:t>
      </w:r>
      <w:r>
        <w:t xml:space="preserve">“An</w:t>
      </w:r>
      <w:r>
        <w:t xml:space="preserve"> </w:t>
      </w:r>
      <w:r>
        <w:t xml:space="preserve">All</w:t>
      </w:r>
      <w:r>
        <w:t xml:space="preserve">-electron numerical method for solving the local density functional for polyatomic molecules,”</w:t>
      </w:r>
      <w:r>
        <w:t xml:space="preserve"> </w:t>
      </w:r>
      <w:r>
        <w:rPr>
          <w:iCs/>
          <w:i/>
        </w:rPr>
        <w:t xml:space="preserve">J. Chem. Phys.</w:t>
      </w:r>
      <w:r>
        <w:t xml:space="preserve">, vol. 92, no. 1, pp. 508–517, 1990.</w:t>
      </w:r>
    </w:p>
    <w:bookmarkEnd w:id="195"/>
    <w:bookmarkStart w:id="196" w:name="ref-accelrysMaterialsStudio2001"/>
    <w:p>
      <w:pPr>
        <w:pStyle w:val="Bibliography"/>
      </w:pPr>
      <w:r>
        <w:t xml:space="preserve">[62]</w:t>
      </w:r>
      <w:r>
        <w:t xml:space="preserve"> </w:t>
      </w:r>
      <w:r>
        <w:t xml:space="preserve">	</w:t>
      </w:r>
      <w:r>
        <w:t xml:space="preserve">Accelrys,</w:t>
      </w:r>
      <w:r>
        <w:t xml:space="preserve"> </w:t>
      </w:r>
      <w:r>
        <w:t xml:space="preserve">“Materials</w:t>
      </w:r>
      <w:r>
        <w:t xml:space="preserve"> </w:t>
      </w:r>
      <w:r>
        <w:t xml:space="preserve">Studio</w:t>
      </w:r>
      <w:r>
        <w:t xml:space="preserve">.”</w:t>
      </w:r>
      <w:r>
        <w:t xml:space="preserve"> </w:t>
      </w:r>
      <w:r>
        <w:t xml:space="preserve">Accelrys Software Inc., 2001.</w:t>
      </w:r>
    </w:p>
    <w:bookmarkEnd w:id="196"/>
    <w:bookmarkStart w:id="197" w:name="ref-gulcayBiocompatibleMOFsStorage2019"/>
    <w:p>
      <w:pPr>
        <w:pStyle w:val="Bibliography"/>
      </w:pPr>
      <w:r>
        <w:t xml:space="preserve">[63]</w:t>
      </w:r>
      <w:r>
        <w:t xml:space="preserve"> </w:t>
      </w:r>
      <w:r>
        <w:t xml:space="preserve">	</w:t>
      </w:r>
      <w:r>
        <w:t xml:space="preserve">E. Gulcay and I. Erucar,</w:t>
      </w:r>
      <w:r>
        <w:t xml:space="preserve"> </w:t>
      </w:r>
      <w:r>
        <w:t xml:space="preserve">“Biocompatible</w:t>
      </w:r>
      <w:r>
        <w:t xml:space="preserve"> </w:t>
      </w:r>
      <w:r>
        <w:t xml:space="preserve">MOFs</w:t>
      </w:r>
      <w:r>
        <w:t xml:space="preserve"> </w:t>
      </w:r>
      <w:r>
        <w:t xml:space="preserve">for storage and separation of</w:t>
      </w:r>
      <w:r>
        <w:t xml:space="preserve"> </w:t>
      </w:r>
      <w:r>
        <w:t xml:space="preserve">O2</w:t>
      </w:r>
      <w:r>
        <w:t xml:space="preserve">:</w:t>
      </w:r>
      <w:r>
        <w:t xml:space="preserve"> </w:t>
      </w:r>
      <w:r>
        <w:t xml:space="preserve">A</w:t>
      </w:r>
      <w:r>
        <w:t xml:space="preserve"> </w:t>
      </w:r>
      <w:r>
        <w:t xml:space="preserve">molecular simulation study,”</w:t>
      </w:r>
      <w:r>
        <w:t xml:space="preserve"> </w:t>
      </w:r>
      <w:r>
        <w:rPr>
          <w:iCs/>
          <w:i/>
        </w:rPr>
        <w:t xml:space="preserve">Ind. Eng. Chem. Res.</w:t>
      </w:r>
      <w:r>
        <w:t xml:space="preserve">, vol. 58, no. 8, pp. 3225–3237, 2019.</w:t>
      </w:r>
    </w:p>
    <w:bookmarkEnd w:id="197"/>
    <w:bookmarkStart w:id="198" w:name="ref-nandiRevisitingWaterSorption2019"/>
    <w:p>
      <w:pPr>
        <w:pStyle w:val="Bibliography"/>
      </w:pPr>
      <w:r>
        <w:t xml:space="preserve">[64]</w:t>
      </w:r>
      <w:r>
        <w:t xml:space="preserve"> </w:t>
      </w:r>
      <w:r>
        <w:t xml:space="preserve">	</w:t>
      </w:r>
      <w:r>
        <w:t xml:space="preserve">S. Nandi</w:t>
      </w:r>
      <w:r>
        <w:t xml:space="preserve"> </w:t>
      </w:r>
      <w:r>
        <w:rPr>
          <w:iCs/>
          <w:i/>
        </w:rPr>
        <w:t xml:space="preserve">et al.</w:t>
      </w:r>
      <w:r>
        <w:t xml:space="preserve">,</w:t>
      </w:r>
      <w:r>
        <w:t xml:space="preserve"> </w:t>
      </w:r>
      <w:r>
        <w:t xml:space="preserve">“Revisiting the water sorption isotherm of</w:t>
      </w:r>
      <w:r>
        <w:t xml:space="preserve"> </w:t>
      </w:r>
      <w:r>
        <w:t xml:space="preserve">MOF</w:t>
      </w:r>
      <w:r>
        <w:t xml:space="preserve"> </w:t>
      </w:r>
      <w:r>
        <w:t xml:space="preserve">using electrical measurements,”</w:t>
      </w:r>
      <w:r>
        <w:t xml:space="preserve"> </w:t>
      </w:r>
      <w:r>
        <w:rPr>
          <w:iCs/>
          <w:i/>
        </w:rPr>
        <w:t xml:space="preserve">Chem. Commun.</w:t>
      </w:r>
      <w:r>
        <w:t xml:space="preserve">, vol. 55, no. 88, pp. 13251–13254, 2019.</w:t>
      </w:r>
    </w:p>
    <w:bookmarkEnd w:id="198"/>
    <w:bookmarkStart w:id="199" w:name="X5a42dda82a02cd4d998f377e073e21f128c2795"/>
    <w:p>
      <w:pPr>
        <w:pStyle w:val="Bibliography"/>
      </w:pPr>
      <w:r>
        <w:t xml:space="preserve">[65]</w:t>
      </w:r>
      <w:r>
        <w:t xml:space="preserve"> </w:t>
      </w:r>
      <w:r>
        <w:t xml:space="preserve">	</w:t>
      </w:r>
      <w:r>
        <w:t xml:space="preserve">C. V. Soares, A. Leitão, and G. Maurin,</w:t>
      </w:r>
      <w:r>
        <w:t xml:space="preserve"> </w:t>
      </w:r>
      <w:r>
        <w:t xml:space="preserve">“Computational evaluation of the chemical warfare agents capture performances of robust</w:t>
      </w:r>
      <w:r>
        <w:t xml:space="preserve"> </w:t>
      </w:r>
      <w:r>
        <w:t xml:space="preserve">MOFs</w:t>
      </w:r>
      <w:r>
        <w:t xml:space="preserve">,”</w:t>
      </w:r>
      <w:r>
        <w:t xml:space="preserve"> </w:t>
      </w:r>
      <w:r>
        <w:rPr>
          <w:iCs/>
          <w:i/>
        </w:rPr>
        <w:t xml:space="preserve">Microporous Mesoporous Mater.</w:t>
      </w:r>
      <w:r>
        <w:t xml:space="preserve">, vol. 280, pp. 97–104, 2019.</w:t>
      </w:r>
    </w:p>
    <w:bookmarkEnd w:id="199"/>
    <w:bookmarkStart w:id="201" w:name="ref-senkovskaNewHighlyPorous2009"/>
    <w:p>
      <w:pPr>
        <w:pStyle w:val="Bibliography"/>
      </w:pPr>
      <w:r>
        <w:t xml:space="preserve">[66]</w:t>
      </w:r>
      <w:r>
        <w:t xml:space="preserve"> </w:t>
      </w:r>
      <w:r>
        <w:t xml:space="preserve">	</w:t>
      </w:r>
      <w:r>
        <w:t xml:space="preserve">I. Senkovska, F. Hoffmann, M. Fröba, J. Getzschmann, W. Böhlmann, and S. Kaskel,</w:t>
      </w:r>
      <w:r>
        <w:t xml:space="preserve"> </w:t>
      </w:r>
      <w:r>
        <w:t xml:space="preserve">“New highly porous aluminium based metal-organic frameworks:</w:t>
      </w:r>
      <w:r>
        <w:t xml:space="preserve"> </w:t>
      </w:r>
      <w:r>
        <w:t xml:space="preserve">Al</w:t>
      </w:r>
      <w:r>
        <w:t xml:space="preserve">(</w:t>
      </w:r>
      <w:r>
        <w:t xml:space="preserve">OH</w:t>
      </w:r>
      <w:r>
        <w:t xml:space="preserve">)(ndc) (ndc=2,6-naphthalene dicarboxylate) and</w:t>
      </w:r>
      <w:r>
        <w:t xml:space="preserve"> </w:t>
      </w:r>
      <w:r>
        <w:t xml:space="preserve">Al</w:t>
      </w:r>
      <w:r>
        <w:t xml:space="preserve">(</w:t>
      </w:r>
      <w:r>
        <w:t xml:space="preserve">OH</w:t>
      </w:r>
      <w:r>
        <w:t xml:space="preserve">)(bpdc) (bpdc=4,4</w:t>
      </w:r>
      <m:oMath>
        <m:r>
          <m:rPr>
            <m:sty m:val="p"/>
          </m:rPr>
          <m:t>′</m:t>
        </m:r>
      </m:oMath>
      <w:r>
        <w:t xml:space="preserve">-biphenyl dicarboxylate),”</w:t>
      </w:r>
      <w:r>
        <w:t xml:space="preserve"> </w:t>
      </w:r>
      <w:r>
        <w:rPr>
          <w:iCs/>
          <w:i/>
        </w:rPr>
        <w:t xml:space="preserve">Microporous and Mesoporous Materials</w:t>
      </w:r>
      <w:r>
        <w:t xml:space="preserve">, vol. 122, no. 1–3, pp. 93–98, Jun. 2009, doi:</w:t>
      </w:r>
      <w:r>
        <w:t xml:space="preserve"> </w:t>
      </w:r>
      <w:hyperlink r:id="rId200">
        <w:r>
          <w:rPr>
            <w:rStyle w:val="Hyperlink"/>
          </w:rPr>
          <w:t xml:space="preserve">10.1016/j.micromeso.2009.02.020</w:t>
        </w:r>
      </w:hyperlink>
      <w:r>
        <w:t xml:space="preserve">.</w:t>
      </w:r>
    </w:p>
    <w:bookmarkEnd w:id="201"/>
    <w:bookmarkStart w:id="203" w:name="ref-bonZrIvHf2012"/>
    <w:p>
      <w:pPr>
        <w:pStyle w:val="Bibliography"/>
      </w:pPr>
      <w:r>
        <w:t xml:space="preserve">[67]</w:t>
      </w:r>
      <w:r>
        <w:t xml:space="preserve"> </w:t>
      </w:r>
      <w:r>
        <w:t xml:space="preserve">	</w:t>
      </w:r>
      <w:r>
        <w:t xml:space="preserve">V. Bon, V. Senkovskyy, I. Senkovska, and S. Kaskel,</w:t>
      </w:r>
      <w:r>
        <w:t xml:space="preserve"> </w:t>
      </w:r>
      <w:r>
        <w:t xml:space="preserve">“Zr(iv) and</w:t>
      </w:r>
      <w:r>
        <w:t xml:space="preserve"> </w:t>
      </w:r>
      <w:r>
        <w:t xml:space="preserve">Hf</w:t>
      </w:r>
      <w:r>
        <w:t xml:space="preserve">(iv) based metal</w:t>
      </w:r>
      <w:r>
        <w:t xml:space="preserve">organic frameworks with reo-topology,”</w:t>
      </w:r>
      <w:r>
        <w:t xml:space="preserve"> </w:t>
      </w:r>
      <w:r>
        <w:rPr>
          <w:iCs/>
          <w:i/>
        </w:rPr>
        <w:t xml:space="preserve">Chem. Commun.</w:t>
      </w:r>
      <w:r>
        <w:t xml:space="preserve">, vol. 48, no. 67, p. 8407, 2012, doi:</w:t>
      </w:r>
      <w:r>
        <w:t xml:space="preserve"> </w:t>
      </w:r>
      <w:hyperlink r:id="rId202">
        <w:r>
          <w:rPr>
            <w:rStyle w:val="Hyperlink"/>
          </w:rPr>
          <w:t xml:space="preserve">10.1039/c2cc34246d</w:t>
        </w:r>
      </w:hyperlink>
      <w:r>
        <w:t xml:space="preserve">.</w:t>
      </w:r>
    </w:p>
    <w:bookmarkEnd w:id="203"/>
    <w:bookmarkStart w:id="205" w:name="ref-bonZrHfBasedMetal2013"/>
    <w:p>
      <w:pPr>
        <w:pStyle w:val="Bibliography"/>
      </w:pPr>
      <w:r>
        <w:t xml:space="preserve">[68]</w:t>
      </w:r>
      <w:r>
        <w:t xml:space="preserve"> </w:t>
      </w:r>
      <w:r>
        <w:t xml:space="preserve">	</w:t>
      </w:r>
      <w:r>
        <w:t xml:space="preserve">V. Bon, I. Senkovska, I. A. Baburin, and S. Kaskel,</w:t>
      </w:r>
      <w:r>
        <w:t xml:space="preserve"> </w:t>
      </w:r>
      <w:r>
        <w:t xml:space="preserve">“Zr- and</w:t>
      </w:r>
      <w:r>
        <w:t xml:space="preserve"> </w:t>
      </w:r>
      <w:r>
        <w:t xml:space="preserve">Hf</w:t>
      </w:r>
      <w:r>
        <w:t xml:space="preserve">-</w:t>
      </w:r>
      <w:r>
        <w:t xml:space="preserve">Based Metal</w:t>
      </w:r>
      <w:r>
        <w:t xml:space="preserve">Organic Frameworks</w:t>
      </w:r>
      <w:r>
        <w:t xml:space="preserve">:</w:t>
      </w:r>
      <w:r>
        <w:t xml:space="preserve"> </w:t>
      </w:r>
      <w:r>
        <w:t xml:space="preserve">Tracking Down</w:t>
      </w:r>
      <w:r>
        <w:t xml:space="preserve"> </w:t>
      </w:r>
      <w:r>
        <w:t xml:space="preserve">the</w:t>
      </w:r>
      <w:r>
        <w:t xml:space="preserve"> </w:t>
      </w:r>
      <w:r>
        <w:t xml:space="preserve">Polymorphism</w:t>
      </w:r>
      <w:r>
        <w:t xml:space="preserve">,”</w:t>
      </w:r>
      <w:r>
        <w:t xml:space="preserve"> </w:t>
      </w:r>
      <w:r>
        <w:rPr>
          <w:iCs/>
          <w:i/>
        </w:rPr>
        <w:t xml:space="preserve">Crystal Growth &amp; Design</w:t>
      </w:r>
      <w:r>
        <w:t xml:space="preserve">, vol. 13, no. 3, pp. 1231–1237, Mar. 2013, doi:</w:t>
      </w:r>
      <w:r>
        <w:t xml:space="preserve"> </w:t>
      </w:r>
      <w:hyperlink r:id="rId204">
        <w:r>
          <w:rPr>
            <w:rStyle w:val="Hyperlink"/>
          </w:rPr>
          <w:t xml:space="preserve">10.1021/cg301691d</w:t>
        </w:r>
      </w:hyperlink>
      <w:r>
        <w:t xml:space="preserve">.</w:t>
      </w:r>
    </w:p>
    <w:bookmarkEnd w:id="205"/>
    <w:bookmarkStart w:id="207" w:name="ref-yangProbingAdsorptionPerformance2012"/>
    <w:p>
      <w:pPr>
        <w:pStyle w:val="Bibliography"/>
      </w:pPr>
      <w:r>
        <w:t xml:space="preserve">[69]</w:t>
      </w:r>
      <w:r>
        <w:t xml:space="preserve"> </w:t>
      </w:r>
      <w:r>
        <w:t xml:space="preserve">	</w:t>
      </w:r>
      <w:r>
        <w:t xml:space="preserve">Q. Yang</w:t>
      </w:r>
      <w:r>
        <w:t xml:space="preserve"> </w:t>
      </w:r>
      <w:r>
        <w:rPr>
          <w:iCs/>
          <w:i/>
        </w:rPr>
        <w:t xml:space="preserve">et al.</w:t>
      </w:r>
      <w:r>
        <w:t xml:space="preserve">,</w:t>
      </w:r>
      <w:r>
        <w:t xml:space="preserve"> </w:t>
      </w:r>
      <w:r>
        <w:t xml:space="preserve">“Probing the adsorption performance of the hybrid porous</w:t>
      </w:r>
      <w:r>
        <w:t xml:space="preserve"> </w:t>
      </w:r>
      <w:r>
        <w:t xml:space="preserve">MIL</w:t>
      </w:r>
      <w:r>
        <w:t xml:space="preserve">-68(</w:t>
      </w:r>
      <w:r>
        <w:t xml:space="preserve">Al</w:t>
      </w:r>
      <w:r>
        <w:t xml:space="preserve">): A synergic combination of experimental and modelling tools,”</w:t>
      </w:r>
      <w:r>
        <w:t xml:space="preserve"> </w:t>
      </w:r>
      <w:r>
        <w:rPr>
          <w:iCs/>
          <w:i/>
        </w:rPr>
        <w:t xml:space="preserve">Journal of Materials Chemistry</w:t>
      </w:r>
      <w:r>
        <w:t xml:space="preserve">, vol. 22, no. 20, p. 10210, 2012, doi:</w:t>
      </w:r>
      <w:r>
        <w:t xml:space="preserve"> </w:t>
      </w:r>
      <w:hyperlink r:id="rId206">
        <w:r>
          <w:rPr>
            <w:rStyle w:val="Hyperlink"/>
          </w:rPr>
          <w:t xml:space="preserve">10.1039/c2jm15609a</w:t>
        </w:r>
      </w:hyperlink>
      <w:r>
        <w:t xml:space="preserve">.</w:t>
      </w:r>
    </w:p>
    <w:bookmarkEnd w:id="207"/>
    <w:bookmarkStart w:id="209" w:name="Xa8f3f75a71245cd475e1e516d17f77ff89ec2e2"/>
    <w:p>
      <w:pPr>
        <w:pStyle w:val="Bibliography"/>
      </w:pPr>
      <w:r>
        <w:t xml:space="preserve">[70]</w:t>
      </w:r>
      <w:r>
        <w:t xml:space="preserve"> </w:t>
      </w:r>
      <w:r>
        <w:t xml:space="preserve">	</w:t>
      </w:r>
      <w:r>
        <w:t xml:space="preserve">S. Wang</w:t>
      </w:r>
      <w:r>
        <w:t xml:space="preserve"> </w:t>
      </w:r>
      <w:r>
        <w:rPr>
          <w:iCs/>
          <w:i/>
        </w:rPr>
        <w:t xml:space="preserve">et al.</w:t>
      </w:r>
      <w:r>
        <w:t xml:space="preserve">,</w:t>
      </w:r>
      <w:r>
        <w:t xml:space="preserve"> </w:t>
      </w:r>
      <w:r>
        <w:t xml:space="preserve">“A phase transformable ultrastable titanium-carboxylate framework for photoconduction,”</w:t>
      </w:r>
      <w:r>
        <w:t xml:space="preserve"> </w:t>
      </w:r>
      <w:r>
        <w:rPr>
          <w:iCs/>
          <w:i/>
        </w:rPr>
        <w:t xml:space="preserve">Nature Communications</w:t>
      </w:r>
      <w:r>
        <w:t xml:space="preserve">, vol. 9, no. 1, Dec. 2018, doi:</w:t>
      </w:r>
      <w:r>
        <w:t xml:space="preserve"> </w:t>
      </w:r>
      <w:hyperlink r:id="rId208">
        <w:r>
          <w:rPr>
            <w:rStyle w:val="Hyperlink"/>
          </w:rPr>
          <w:t xml:space="preserve">10.1038/s41467-018-04034-w</w:t>
        </w:r>
      </w:hyperlink>
      <w:r>
        <w:t xml:space="preserve">.</w:t>
      </w:r>
    </w:p>
    <w:bookmarkEnd w:id="209"/>
    <w:bookmarkStart w:id="211" w:name="ref-wangRobustLargeporeZirconium2018"/>
    <w:p>
      <w:pPr>
        <w:pStyle w:val="Bibliography"/>
      </w:pPr>
      <w:r>
        <w:t xml:space="preserve">[71]</w:t>
      </w:r>
      <w:r>
        <w:t xml:space="preserve"> </w:t>
      </w:r>
      <w:r>
        <w:t xml:space="preserve">	</w:t>
      </w:r>
      <w:r>
        <w:t xml:space="preserve">S. Wang</w:t>
      </w:r>
      <w:r>
        <w:t xml:space="preserve"> </w:t>
      </w:r>
      <w:r>
        <w:rPr>
          <w:iCs/>
          <w:i/>
        </w:rPr>
        <w:t xml:space="preserve">et al.</w:t>
      </w:r>
      <w:r>
        <w:t xml:space="preserve">,</w:t>
      </w:r>
      <w:r>
        <w:t xml:space="preserve"> </w:t>
      </w:r>
      <w:r>
        <w:t xml:space="preserve">“A robust large-pore zirconium carboxylate metal</w:t>
      </w:r>
      <w:r>
        <w:t xml:space="preserve">organic framework for energy-efficient water-sorption-driven refrigeration,”</w:t>
      </w:r>
      <w:r>
        <w:t xml:space="preserve"> </w:t>
      </w:r>
      <w:r>
        <w:rPr>
          <w:iCs/>
          <w:i/>
        </w:rPr>
        <w:t xml:space="preserve">Nat Energy</w:t>
      </w:r>
      <w:r>
        <w:t xml:space="preserve">, vol. 3, no. 11, pp. 985–993, Nov. 2018, doi:</w:t>
      </w:r>
      <w:r>
        <w:t xml:space="preserve"> </w:t>
      </w:r>
      <w:hyperlink r:id="rId210">
        <w:r>
          <w:rPr>
            <w:rStyle w:val="Hyperlink"/>
          </w:rPr>
          <w:t xml:space="preserve">10.1038/s41560-018-0261-6</w:t>
        </w:r>
      </w:hyperlink>
      <w:r>
        <w:t xml:space="preserve">.</w:t>
      </w:r>
    </w:p>
    <w:bookmarkEnd w:id="211"/>
    <w:bookmarkStart w:id="213" w:name="X4036a95edea0e2fcf47b4cfd80a44b1aae71a4e"/>
    <w:p>
      <w:pPr>
        <w:pStyle w:val="Bibliography"/>
      </w:pPr>
      <w:r>
        <w:t xml:space="preserve">[72]</w:t>
      </w:r>
      <w:r>
        <w:t xml:space="preserve"> </w:t>
      </w:r>
      <w:r>
        <w:t xml:space="preserve">	</w:t>
      </w:r>
      <w:r>
        <w:t xml:space="preserve">S. Wang</w:t>
      </w:r>
      <w:r>
        <w:t xml:space="preserve"> </w:t>
      </w:r>
      <w:r>
        <w:rPr>
          <w:iCs/>
          <w:i/>
        </w:rPr>
        <w:t xml:space="preserve">et al.</w:t>
      </w:r>
      <w:r>
        <w:t xml:space="preserve">,</w:t>
      </w:r>
      <w:r>
        <w:t xml:space="preserve"> </w:t>
      </w:r>
      <w:r>
        <w:t xml:space="preserve">“A</w:t>
      </w:r>
      <w:r>
        <w:t xml:space="preserve"> </w:t>
      </w:r>
      <w:r>
        <w:t xml:space="preserve">Mesoporous Zirconium</w:t>
      </w:r>
      <w:r>
        <w:t xml:space="preserve">-</w:t>
      </w:r>
      <w:r>
        <w:t xml:space="preserve">Isophthalate Multifunctional Platform</w:t>
      </w:r>
      <w:r>
        <w:t xml:space="preserve">,”</w:t>
      </w:r>
      <w:r>
        <w:t xml:space="preserve"> </w:t>
      </w:r>
      <w:r>
        <w:rPr>
          <w:iCs/>
          <w:i/>
        </w:rPr>
        <w:t xml:space="preserve">Matter</w:t>
      </w:r>
      <w:r>
        <w:t xml:space="preserve">, p. S2590238520305634, Nov. 2020, doi:</w:t>
      </w:r>
      <w:r>
        <w:t xml:space="preserve"> </w:t>
      </w:r>
      <w:hyperlink r:id="rId212">
        <w:r>
          <w:rPr>
            <w:rStyle w:val="Hyperlink"/>
          </w:rPr>
          <w:t xml:space="preserve">10.1016/j.matt.2020.10.009</w:t>
        </w:r>
      </w:hyperlink>
      <w:r>
        <w:t xml:space="preserve">.</w:t>
      </w:r>
    </w:p>
    <w:bookmarkEnd w:id="213"/>
    <w:bookmarkStart w:id="215" w:name="X9fe639d57ecdb27bd24301df2ffa322c358975f"/>
    <w:p>
      <w:pPr>
        <w:pStyle w:val="Bibliography"/>
      </w:pPr>
      <w:r>
        <w:t xml:space="preserve">[73]</w:t>
      </w:r>
      <w:r>
        <w:t xml:space="preserve"> </w:t>
      </w:r>
      <w:r>
        <w:t xml:space="preserve">	</w:t>
      </w:r>
      <w:r>
        <w:t xml:space="preserve">J. Zheng</w:t>
      </w:r>
      <w:r>
        <w:t xml:space="preserve"> </w:t>
      </w:r>
      <w:r>
        <w:rPr>
          <w:iCs/>
          <w:i/>
        </w:rPr>
        <w:t xml:space="preserve">et al.</w:t>
      </w:r>
      <w:r>
        <w:t xml:space="preserve">,</w:t>
      </w:r>
      <w:r>
        <w:t xml:space="preserve"> </w:t>
      </w:r>
      <w:r>
        <w:t xml:space="preserve">“Molecular</w:t>
      </w:r>
      <w:r>
        <w:t xml:space="preserve"> </w:t>
      </w:r>
      <w:r>
        <w:t xml:space="preserve">Insight</w:t>
      </w:r>
      <w:r>
        <w:t xml:space="preserve"> </w:t>
      </w:r>
      <w:r>
        <w:t xml:space="preserve">into</w:t>
      </w:r>
      <w:r>
        <w:t xml:space="preserve"> </w:t>
      </w:r>
      <w:r>
        <w:t xml:space="preserve">Fluorocarbon Adsorption</w:t>
      </w:r>
      <w:r>
        <w:t xml:space="preserve"> </w:t>
      </w:r>
      <w:r>
        <w:t xml:space="preserve">in</w:t>
      </w:r>
      <w:r>
        <w:t xml:space="preserve"> </w:t>
      </w:r>
      <w:r>
        <w:t xml:space="preserve">Pore Expanded Metal</w:t>
      </w:r>
      <w:r>
        <w:t xml:space="preserve">Organic Framework Analogs</w:t>
      </w:r>
      <w:r>
        <w:t xml:space="preserve">,”</w:t>
      </w:r>
      <w:r>
        <w:t xml:space="preserve"> </w:t>
      </w:r>
      <w:r>
        <w:rPr>
          <w:iCs/>
          <w:i/>
        </w:rPr>
        <w:t xml:space="preserve">J. Am. Chem. Soc.</w:t>
      </w:r>
      <w:r>
        <w:t xml:space="preserve">, vol. 142, no. 6, pp. 3002–3012, Feb. 2020, doi:</w:t>
      </w:r>
      <w:r>
        <w:t xml:space="preserve"> </w:t>
      </w:r>
      <w:hyperlink r:id="rId214">
        <w:r>
          <w:rPr>
            <w:rStyle w:val="Hyperlink"/>
          </w:rPr>
          <w:t xml:space="preserve">10.1021/jacs.9b11963</w:t>
        </w:r>
      </w:hyperlink>
      <w:r>
        <w:t xml:space="preserve">.</w:t>
      </w:r>
    </w:p>
    <w:bookmarkEnd w:id="215"/>
    <w:bookmarkStart w:id="217" w:name="X4042ce81dc660a3444a6cb1c83bc07835dfce78"/>
    <w:p>
      <w:pPr>
        <w:pStyle w:val="Bibliography"/>
      </w:pPr>
      <w:r>
        <w:t xml:space="preserve">[74]</w:t>
      </w:r>
      <w:r>
        <w:t xml:space="preserve"> </w:t>
      </w:r>
      <w:r>
        <w:t xml:space="preserve">	</w:t>
      </w:r>
      <w:r>
        <w:t xml:space="preserve">D. Feng</w:t>
      </w:r>
      <w:r>
        <w:t xml:space="preserve"> </w:t>
      </w:r>
      <w:r>
        <w:rPr>
          <w:iCs/>
          <w:i/>
        </w:rPr>
        <w:t xml:space="preserve">et al.</w:t>
      </w:r>
      <w:r>
        <w:t xml:space="preserve">,</w:t>
      </w:r>
      <w:r>
        <w:t xml:space="preserve"> </w:t>
      </w:r>
      <w:r>
        <w:t xml:space="preserve">“Construction of</w:t>
      </w:r>
      <w:r>
        <w:t xml:space="preserve"> </w:t>
      </w:r>
      <w:r>
        <w:t xml:space="preserve">Ultrastable Porphyrin Zr Metal</w:t>
      </w:r>
      <w:r>
        <w:t xml:space="preserve">Organic Frameworks</w:t>
      </w:r>
      <w:r>
        <w:t xml:space="preserve"> </w:t>
      </w:r>
      <w:r>
        <w:t xml:space="preserve">through</w:t>
      </w:r>
      <w:r>
        <w:t xml:space="preserve"> </w:t>
      </w:r>
      <w:r>
        <w:t xml:space="preserve">Linker Elimination</w:t>
      </w:r>
      <w:r>
        <w:t xml:space="preserve">,”</w:t>
      </w:r>
      <w:r>
        <w:t xml:space="preserve"> </w:t>
      </w:r>
      <w:r>
        <w:rPr>
          <w:iCs/>
          <w:i/>
        </w:rPr>
        <w:t xml:space="preserve">J. Am. Chem. Soc.</w:t>
      </w:r>
      <w:r>
        <w:t xml:space="preserve">, vol. 135, no. 45, pp. 17105–17110, Nov. 2013, doi:</w:t>
      </w:r>
      <w:r>
        <w:t xml:space="preserve"> </w:t>
      </w:r>
      <w:hyperlink r:id="rId216">
        <w:r>
          <w:rPr>
            <w:rStyle w:val="Hyperlink"/>
          </w:rPr>
          <w:t xml:space="preserve">10.1021/ja408084j</w:t>
        </w:r>
      </w:hyperlink>
      <w:r>
        <w:t xml:space="preserve">.</w:t>
      </w:r>
    </w:p>
    <w:bookmarkEnd w:id="217"/>
    <w:bookmarkEnd w:id="218"/>
    <w:bookmarkEnd w:id="219"/>
    <w:bookmarkEnd w:id="220"/>
    <w:sectPr w:rsidR="00922B09" w:rsidSect="00C52767">
      <w:pgSz w:w="12240" w:h="15840"/>
      <w:pgMar w:top="1440" w:right="851" w:bottom="851" w:left="1440" w:header="720" w:footer="720" w:gutter="0"/>
      <w:lnNumType w:countBy="1" w:restart="continuous"/>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866018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0CC497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90E2EB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D7A38B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F61C5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53ADB3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7F0D15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3C451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BA008C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E00FC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62D4236"/>
    <w:multiLevelType w:val="multilevel"/>
    <w:tmpl w:val="A904ACF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tabs>
          <w:tab w:val="num" w:pos="680"/>
        </w:tabs>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27B7544A"/>
    <w:multiLevelType w:val="hybridMultilevel"/>
    <w:tmpl w:val="CE122FF6"/>
    <w:lvl w:ilvl="0" w:tplc="94E6B16E">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C1AE401"/>
    <w:multiLevelType w:val="multilevel"/>
    <w:tmpl w:val="3340A84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245055F"/>
    <w:multiLevelType w:val="hybridMultilevel"/>
    <w:tmpl w:val="581CB82E"/>
    <w:lvl w:ilvl="0" w:tplc="8C0AF018">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2"/>
  </w:num>
  <w:num w:numId="2">
    <w:abstractNumId w:val="13"/>
  </w:num>
  <w:num w:numId="3">
    <w:abstractNumId w:val="11"/>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7567B"/>
    <w:rPr>
      <w:rFonts w:ascii="Calibri" w:hAnsi="Calibri"/>
      <w:sz w:val="22"/>
    </w:rPr>
  </w:style>
  <w:style w:type="paragraph" w:styleId="Heading1">
    <w:name w:val="heading 1"/>
    <w:basedOn w:val="Normal"/>
    <w:next w:val="BodyText"/>
    <w:uiPriority w:val="9"/>
    <w:qFormat/>
    <w:rsid w:val="00C52767"/>
    <w:pPr>
      <w:keepNext/>
      <w:keepLines/>
      <w:numPr>
        <w:numId w:val="14"/>
      </w:numPr>
      <w:spacing w:before="480" w:after="0"/>
      <w:outlineLvl w:val="0"/>
    </w:pPr>
    <w:rPr>
      <w:rFonts w:asciiTheme="majorHAnsi" w:eastAsiaTheme="majorEastAsia" w:hAnsiTheme="majorHAnsi" w:cstheme="majorBidi"/>
      <w:bCs/>
      <w:sz w:val="32"/>
      <w:szCs w:val="32"/>
    </w:rPr>
  </w:style>
  <w:style w:type="paragraph" w:styleId="Heading2">
    <w:name w:val="heading 2"/>
    <w:basedOn w:val="Normal"/>
    <w:next w:val="BodyText"/>
    <w:uiPriority w:val="9"/>
    <w:unhideWhenUsed/>
    <w:qFormat/>
    <w:rsid w:val="00D63A02"/>
    <w:pPr>
      <w:keepNext/>
      <w:keepLines/>
      <w:numPr>
        <w:ilvl w:val="1"/>
        <w:numId w:val="14"/>
      </w:numPr>
      <w:spacing w:before="200" w:after="0"/>
      <w:outlineLvl w:val="1"/>
    </w:pPr>
    <w:rPr>
      <w:rFonts w:asciiTheme="majorHAnsi" w:eastAsiaTheme="majorEastAsia" w:hAnsiTheme="majorHAnsi" w:cstheme="majorBidi"/>
      <w:bCs/>
      <w:sz w:val="28"/>
      <w:szCs w:val="28"/>
    </w:rPr>
  </w:style>
  <w:style w:type="paragraph" w:styleId="Heading3">
    <w:name w:val="heading 3"/>
    <w:basedOn w:val="Normal"/>
    <w:next w:val="BodyText"/>
    <w:uiPriority w:val="9"/>
    <w:unhideWhenUsed/>
    <w:qFormat/>
    <w:rsid w:val="0077567B"/>
    <w:pPr>
      <w:keepNext/>
      <w:keepLines/>
      <w:numPr>
        <w:ilvl w:val="2"/>
        <w:numId w:val="14"/>
      </w:numPr>
      <w:spacing w:before="200" w:after="0"/>
      <w:outlineLvl w:val="2"/>
    </w:pPr>
    <w:rPr>
      <w:rFonts w:asciiTheme="majorHAnsi" w:eastAsiaTheme="majorEastAsia" w:hAnsiTheme="majorHAnsi" w:cstheme="majorBidi"/>
      <w:bCs/>
      <w:sz w:val="24"/>
    </w:rPr>
  </w:style>
  <w:style w:type="paragraph" w:styleId="Heading4">
    <w:name w:val="heading 4"/>
    <w:basedOn w:val="Normal"/>
    <w:next w:val="BodyText"/>
    <w:uiPriority w:val="9"/>
    <w:unhideWhenUsed/>
    <w:qFormat/>
    <w:rsid w:val="0077567B"/>
    <w:pPr>
      <w:keepNext/>
      <w:keepLines/>
      <w:numPr>
        <w:ilvl w:val="3"/>
        <w:numId w:val="14"/>
      </w:numPr>
      <w:spacing w:before="200" w:after="0"/>
      <w:outlineLvl w:val="3"/>
    </w:pPr>
    <w:rPr>
      <w:rFonts w:asciiTheme="majorHAnsi" w:eastAsiaTheme="majorEastAsia" w:hAnsiTheme="majorHAnsi" w:cstheme="majorBidi"/>
      <w:bCs/>
      <w:i/>
      <w:sz w:val="24"/>
    </w:rPr>
  </w:style>
  <w:style w:type="paragraph" w:styleId="Heading5">
    <w:name w:val="heading 5"/>
    <w:basedOn w:val="Normal"/>
    <w:next w:val="BodyText"/>
    <w:uiPriority w:val="9"/>
    <w:unhideWhenUsed/>
    <w:qFormat/>
    <w:rsid w:val="0077567B"/>
    <w:pPr>
      <w:keepNext/>
      <w:keepLines/>
      <w:numPr>
        <w:ilvl w:val="4"/>
        <w:numId w:val="14"/>
      </w:numPr>
      <w:spacing w:before="200" w:after="0"/>
      <w:outlineLvl w:val="4"/>
    </w:pPr>
    <w:rPr>
      <w:rFonts w:asciiTheme="majorHAnsi" w:eastAsiaTheme="majorEastAsia" w:hAnsiTheme="majorHAnsi" w:cstheme="majorBidi"/>
      <w:iCs/>
      <w:sz w:val="24"/>
    </w:rPr>
  </w:style>
  <w:style w:type="paragraph" w:styleId="Heading6">
    <w:name w:val="heading 6"/>
    <w:basedOn w:val="Normal"/>
    <w:next w:val="BodyText"/>
    <w:uiPriority w:val="9"/>
    <w:unhideWhenUsed/>
    <w:qFormat/>
    <w:rsid w:val="0077567B"/>
    <w:pPr>
      <w:keepNext/>
      <w:keepLines/>
      <w:numPr>
        <w:ilvl w:val="5"/>
        <w:numId w:val="14"/>
      </w:numPr>
      <w:spacing w:before="200" w:after="0"/>
      <w:outlineLvl w:val="5"/>
    </w:pPr>
    <w:rPr>
      <w:rFonts w:asciiTheme="majorHAnsi" w:eastAsiaTheme="majorEastAsia" w:hAnsiTheme="majorHAnsi" w:cstheme="majorBidi"/>
      <w:sz w:val="24"/>
    </w:rPr>
  </w:style>
  <w:style w:type="paragraph" w:styleId="Heading7">
    <w:name w:val="heading 7"/>
    <w:basedOn w:val="Normal"/>
    <w:next w:val="BodyText"/>
    <w:uiPriority w:val="9"/>
    <w:unhideWhenUsed/>
    <w:qFormat/>
    <w:rsid w:val="0077567B"/>
    <w:pPr>
      <w:keepNext/>
      <w:keepLines/>
      <w:numPr>
        <w:ilvl w:val="6"/>
        <w:numId w:val="14"/>
      </w:numPr>
      <w:spacing w:before="200" w:after="0"/>
      <w:outlineLvl w:val="6"/>
    </w:pPr>
    <w:rPr>
      <w:rFonts w:asciiTheme="majorHAnsi" w:eastAsiaTheme="majorEastAsia" w:hAnsiTheme="majorHAnsi" w:cstheme="majorBidi"/>
      <w:sz w:val="24"/>
    </w:rPr>
  </w:style>
  <w:style w:type="paragraph" w:styleId="Heading8">
    <w:name w:val="heading 8"/>
    <w:basedOn w:val="Normal"/>
    <w:next w:val="BodyText"/>
    <w:uiPriority w:val="9"/>
    <w:unhideWhenUsed/>
    <w:qFormat/>
    <w:rsid w:val="0077567B"/>
    <w:pPr>
      <w:keepNext/>
      <w:keepLines/>
      <w:numPr>
        <w:ilvl w:val="7"/>
        <w:numId w:val="14"/>
      </w:numPr>
      <w:spacing w:before="200" w:after="0"/>
      <w:outlineLvl w:val="7"/>
    </w:pPr>
    <w:rPr>
      <w:rFonts w:asciiTheme="majorHAnsi" w:eastAsiaTheme="majorEastAsia" w:hAnsiTheme="majorHAnsi" w:cstheme="majorBidi"/>
      <w:sz w:val="24"/>
    </w:rPr>
  </w:style>
  <w:style w:type="paragraph" w:styleId="Heading9">
    <w:name w:val="heading 9"/>
    <w:basedOn w:val="Normal"/>
    <w:next w:val="BodyText"/>
    <w:uiPriority w:val="9"/>
    <w:unhideWhenUsed/>
    <w:qFormat/>
    <w:rsid w:val="0077567B"/>
    <w:pPr>
      <w:keepNext/>
      <w:keepLines/>
      <w:numPr>
        <w:ilvl w:val="8"/>
        <w:numId w:val="14"/>
      </w:numPr>
      <w:spacing w:before="200" w:after="0"/>
      <w:outlineLvl w:val="8"/>
    </w:pPr>
    <w:rPr>
      <w:rFonts w:asciiTheme="majorHAnsi" w:eastAsiaTheme="majorEastAsia" w:hAnsiTheme="majorHAnsi" w:cstheme="majorBid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52767"/>
    <w:pPr>
      <w:spacing w:before="180" w:after="180" w:line="360" w:lineRule="auto"/>
      <w:jc w:val="both"/>
    </w:pPr>
  </w:style>
  <w:style w:type="paragraph" w:customStyle="1" w:styleId="FirstParagraph">
    <w:name w:val="First Paragraph"/>
    <w:basedOn w:val="BodyText"/>
    <w:next w:val="BodyText"/>
    <w:qFormat/>
  </w:style>
  <w:style w:type="paragraph" w:customStyle="1" w:styleId="Compact">
    <w:name w:val="Compact"/>
    <w:basedOn w:val="BodyText"/>
    <w:qFormat/>
    <w:rsid w:val="007A58C8"/>
    <w:pPr>
      <w:spacing w:before="0" w:after="0" w:line="240" w:lineRule="auto"/>
    </w:pPr>
    <w:rPr>
      <w:sz w:val="20"/>
    </w:rPr>
  </w:style>
  <w:style w:type="paragraph" w:styleId="Title">
    <w:name w:val="Title"/>
    <w:basedOn w:val="Normal"/>
    <w:next w:val="BodyText"/>
    <w:qFormat/>
    <w:rsid w:val="0077567B"/>
    <w:pPr>
      <w:keepNext/>
      <w:keepLines/>
      <w:spacing w:before="480" w:after="240"/>
    </w:pPr>
    <w:rPr>
      <w:rFonts w:asciiTheme="majorHAnsi" w:eastAsia="Yu Mincho" w:hAnsiTheme="majorHAnsi" w:cstheme="majorHAnsi"/>
      <w:sz w:val="52"/>
      <w:szCs w:val="52"/>
      <w:lang w:val="en-GB"/>
    </w:rPr>
  </w:style>
  <w:style w:type="paragraph" w:styleId="Subtitle">
    <w:name w:val="Subtitle"/>
    <w:basedOn w:val="Title"/>
    <w:next w:val="BodyText"/>
    <w:qFormat/>
    <w:pPr>
      <w:spacing w:before="240"/>
      <w:jc w:val="center"/>
    </w:pPr>
    <w:rPr>
      <w:sz w:val="30"/>
      <w:szCs w:val="30"/>
    </w:rPr>
  </w:style>
  <w:style w:type="paragraph" w:customStyle="1" w:styleId="Author">
    <w:name w:val="Author"/>
    <w:next w:val="BodyText"/>
    <w:qFormat/>
    <w:rsid w:val="008057DD"/>
    <w:pPr>
      <w:keepNext/>
      <w:keepLines/>
    </w:pPr>
    <w:rPr>
      <w:rFonts w:ascii="Calibri" w:hAnsi="Calibri"/>
    </w:rPr>
  </w:style>
  <w:style w:type="paragraph" w:styleId="Date">
    <w:name w:val="Date"/>
    <w:next w:val="BodyText"/>
    <w:qFormat/>
    <w:rsid w:val="0077567B"/>
    <w:pPr>
      <w:keepNext/>
      <w:keepLines/>
    </w:pPr>
    <w:rPr>
      <w:sz w:val="20"/>
      <w:szCs w:val="20"/>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77567B"/>
    <w:rPr>
      <w:sz w:val="1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8057DD"/>
    <w:pPr>
      <w:spacing w:after="120"/>
    </w:pPr>
    <w:rPr>
      <w:b/>
      <w:sz w:val="18"/>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rsid w:val="008057DD"/>
    <w:pPr>
      <w:keepNext/>
    </w:pPr>
    <w:rPr>
      <w:b/>
      <w:sz w:val="18"/>
    </w:rPr>
  </w:style>
  <w:style w:type="character" w:customStyle="1" w:styleId="CaptionChar">
    <w:name w:val="Caption Char"/>
    <w:basedOn w:val="DefaultParagraphFont"/>
    <w:link w:val="Caption"/>
    <w:rsid w:val="008057DD"/>
    <w:rPr>
      <w:rFonts w:ascii="Calibri" w:hAnsi="Calibri"/>
      <w:b/>
      <w:sz w:val="18"/>
    </w:rPr>
  </w:style>
  <w:style w:type="character" w:customStyle="1" w:styleId="VerbatimChar">
    <w:name w:val="Verbatim Char"/>
    <w:basedOn w:val="CaptionChar"/>
    <w:link w:val="SourceCode"/>
    <w:rPr>
      <w:rFonts w:ascii="Consolas" w:hAnsi="Consolas"/>
      <w:b/>
      <w:sz w:val="22"/>
    </w:rPr>
  </w:style>
  <w:style w:type="character" w:customStyle="1" w:styleId="SectionNumber">
    <w:name w:val="Section Number"/>
    <w:basedOn w:val="CaptionChar"/>
    <w:rPr>
      <w:rFonts w:ascii="Calibri" w:hAnsi="Calibri"/>
      <w:b/>
      <w:sz w:val="18"/>
    </w:rPr>
  </w:style>
  <w:style w:type="character" w:styleId="FootnoteReference">
    <w:name w:val="footnote reference"/>
    <w:basedOn w:val="CaptionChar"/>
    <w:rPr>
      <w:rFonts w:ascii="Calibri" w:hAnsi="Calibri"/>
      <w:b/>
      <w:sz w:val="18"/>
      <w:vertAlign w:val="superscript"/>
    </w:rPr>
  </w:style>
  <w:style w:type="character" w:styleId="Hyperlink">
    <w:name w:val="Hyperlink"/>
    <w:basedOn w:val="CaptionChar"/>
    <w:rPr>
      <w:rFonts w:ascii="Calibri" w:hAnsi="Calibri"/>
      <w:b/>
      <w:color w:val="4F81BD" w:themeColor="accent1"/>
      <w:sz w:val="18"/>
    </w:rPr>
  </w:style>
  <w:style w:type="paragraph" w:styleId="TOCHeading">
    <w:name w:val="TOC Heading"/>
    <w:basedOn w:val="Heading1"/>
    <w:next w:val="BodyText"/>
    <w:uiPriority w:val="39"/>
    <w:unhideWhenUsed/>
    <w:qFormat/>
    <w:rsid w:val="00D63A02"/>
    <w:pPr>
      <w:spacing w:before="240" w:line="259" w:lineRule="auto"/>
      <w:outlineLvl w:val="9"/>
    </w:pPr>
    <w:rPr>
      <w:bCs w:val="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val="0"/>
      <w:color w:val="007020"/>
      <w:sz w:val="22"/>
    </w:rPr>
  </w:style>
  <w:style w:type="character" w:customStyle="1" w:styleId="DataTypeTok">
    <w:name w:val="DataTypeTok"/>
    <w:basedOn w:val="VerbatimChar"/>
    <w:rPr>
      <w:rFonts w:ascii="Consolas" w:hAnsi="Consolas"/>
      <w:b/>
      <w:color w:val="902000"/>
      <w:sz w:val="22"/>
    </w:rPr>
  </w:style>
  <w:style w:type="character" w:customStyle="1" w:styleId="DecValTok">
    <w:name w:val="DecValTok"/>
    <w:basedOn w:val="VerbatimChar"/>
    <w:rPr>
      <w:rFonts w:ascii="Consolas" w:hAnsi="Consolas"/>
      <w:b/>
      <w:color w:val="40A070"/>
      <w:sz w:val="22"/>
    </w:rPr>
  </w:style>
  <w:style w:type="character" w:customStyle="1" w:styleId="BaseNTok">
    <w:name w:val="BaseNTok"/>
    <w:basedOn w:val="VerbatimChar"/>
    <w:rPr>
      <w:rFonts w:ascii="Consolas" w:hAnsi="Consolas"/>
      <w:b/>
      <w:color w:val="40A070"/>
      <w:sz w:val="22"/>
    </w:rPr>
  </w:style>
  <w:style w:type="character" w:customStyle="1" w:styleId="FloatTok">
    <w:name w:val="FloatTok"/>
    <w:basedOn w:val="VerbatimChar"/>
    <w:rPr>
      <w:rFonts w:ascii="Consolas" w:hAnsi="Consolas"/>
      <w:b/>
      <w:color w:val="40A070"/>
      <w:sz w:val="22"/>
    </w:rPr>
  </w:style>
  <w:style w:type="character" w:customStyle="1" w:styleId="ConstantTok">
    <w:name w:val="ConstantTok"/>
    <w:basedOn w:val="VerbatimChar"/>
    <w:rPr>
      <w:rFonts w:ascii="Consolas" w:hAnsi="Consolas"/>
      <w:b/>
      <w:color w:val="880000"/>
      <w:sz w:val="22"/>
    </w:rPr>
  </w:style>
  <w:style w:type="character" w:customStyle="1" w:styleId="CharTok">
    <w:name w:val="CharTok"/>
    <w:basedOn w:val="VerbatimChar"/>
    <w:rPr>
      <w:rFonts w:ascii="Consolas" w:hAnsi="Consolas"/>
      <w:b/>
      <w:color w:val="4070A0"/>
      <w:sz w:val="22"/>
    </w:rPr>
  </w:style>
  <w:style w:type="character" w:customStyle="1" w:styleId="SpecialCharTok">
    <w:name w:val="SpecialCharTok"/>
    <w:basedOn w:val="VerbatimChar"/>
    <w:rPr>
      <w:rFonts w:ascii="Consolas" w:hAnsi="Consolas"/>
      <w:b/>
      <w:color w:val="4070A0"/>
      <w:sz w:val="22"/>
    </w:rPr>
  </w:style>
  <w:style w:type="character" w:customStyle="1" w:styleId="StringTok">
    <w:name w:val="StringTok"/>
    <w:basedOn w:val="VerbatimChar"/>
    <w:rPr>
      <w:rFonts w:ascii="Consolas" w:hAnsi="Consolas"/>
      <w:b/>
      <w:color w:val="4070A0"/>
      <w:sz w:val="22"/>
    </w:rPr>
  </w:style>
  <w:style w:type="character" w:customStyle="1" w:styleId="VerbatimStringTok">
    <w:name w:val="VerbatimStringTok"/>
    <w:basedOn w:val="VerbatimChar"/>
    <w:rPr>
      <w:rFonts w:ascii="Consolas" w:hAnsi="Consolas"/>
      <w:b/>
      <w:color w:val="4070A0"/>
      <w:sz w:val="22"/>
    </w:rPr>
  </w:style>
  <w:style w:type="character" w:customStyle="1" w:styleId="SpecialStringTok">
    <w:name w:val="SpecialStringTok"/>
    <w:basedOn w:val="VerbatimChar"/>
    <w:rPr>
      <w:rFonts w:ascii="Consolas" w:hAnsi="Consolas"/>
      <w:b/>
      <w:color w:val="BB6688"/>
      <w:sz w:val="22"/>
    </w:rPr>
  </w:style>
  <w:style w:type="character" w:customStyle="1" w:styleId="ImportTok">
    <w:name w:val="ImportTok"/>
    <w:basedOn w:val="VerbatimChar"/>
    <w:rPr>
      <w:rFonts w:ascii="Consolas" w:hAnsi="Consolas"/>
      <w:b/>
      <w:sz w:val="22"/>
    </w:rPr>
  </w:style>
  <w:style w:type="character" w:customStyle="1" w:styleId="CommentTok">
    <w:name w:val="CommentTok"/>
    <w:basedOn w:val="VerbatimChar"/>
    <w:rPr>
      <w:rFonts w:ascii="Consolas" w:hAnsi="Consolas"/>
      <w:b/>
      <w:i/>
      <w:color w:val="60A0B0"/>
      <w:sz w:val="22"/>
    </w:rPr>
  </w:style>
  <w:style w:type="character" w:customStyle="1" w:styleId="DocumentationTok">
    <w:name w:val="DocumentationTok"/>
    <w:basedOn w:val="VerbatimChar"/>
    <w:rPr>
      <w:rFonts w:ascii="Consolas" w:hAnsi="Consolas"/>
      <w:b/>
      <w:i/>
      <w:color w:val="BA2121"/>
      <w:sz w:val="22"/>
    </w:rPr>
  </w:style>
  <w:style w:type="character" w:customStyle="1" w:styleId="AnnotationTok">
    <w:name w:val="AnnotationTok"/>
    <w:basedOn w:val="VerbatimChar"/>
    <w:rPr>
      <w:rFonts w:ascii="Consolas" w:hAnsi="Consolas"/>
      <w:b w:val="0"/>
      <w:i/>
      <w:color w:val="60A0B0"/>
      <w:sz w:val="22"/>
    </w:rPr>
  </w:style>
  <w:style w:type="character" w:customStyle="1" w:styleId="CommentVarTok">
    <w:name w:val="CommentVarTok"/>
    <w:basedOn w:val="VerbatimChar"/>
    <w:rPr>
      <w:rFonts w:ascii="Consolas" w:hAnsi="Consolas"/>
      <w:b w:val="0"/>
      <w:i/>
      <w:color w:val="60A0B0"/>
      <w:sz w:val="22"/>
    </w:rPr>
  </w:style>
  <w:style w:type="character" w:customStyle="1" w:styleId="OtherTok">
    <w:name w:val="OtherTok"/>
    <w:basedOn w:val="VerbatimChar"/>
    <w:rPr>
      <w:rFonts w:ascii="Consolas" w:hAnsi="Consolas"/>
      <w:b/>
      <w:color w:val="007020"/>
      <w:sz w:val="22"/>
    </w:rPr>
  </w:style>
  <w:style w:type="character" w:customStyle="1" w:styleId="FunctionTok">
    <w:name w:val="FunctionTok"/>
    <w:basedOn w:val="VerbatimChar"/>
    <w:rPr>
      <w:rFonts w:ascii="Consolas" w:hAnsi="Consolas"/>
      <w:b/>
      <w:color w:val="06287E"/>
      <w:sz w:val="22"/>
    </w:rPr>
  </w:style>
  <w:style w:type="character" w:customStyle="1" w:styleId="VariableTok">
    <w:name w:val="VariableTok"/>
    <w:basedOn w:val="VerbatimChar"/>
    <w:rPr>
      <w:rFonts w:ascii="Consolas" w:hAnsi="Consolas"/>
      <w:b/>
      <w:color w:val="19177C"/>
      <w:sz w:val="22"/>
    </w:rPr>
  </w:style>
  <w:style w:type="character" w:customStyle="1" w:styleId="ControlFlowTok">
    <w:name w:val="ControlFlowTok"/>
    <w:basedOn w:val="VerbatimChar"/>
    <w:rPr>
      <w:rFonts w:ascii="Consolas" w:hAnsi="Consolas"/>
      <w:b w:val="0"/>
      <w:color w:val="007020"/>
      <w:sz w:val="22"/>
    </w:rPr>
  </w:style>
  <w:style w:type="character" w:customStyle="1" w:styleId="OperatorTok">
    <w:name w:val="OperatorTok"/>
    <w:basedOn w:val="VerbatimChar"/>
    <w:rPr>
      <w:rFonts w:ascii="Consolas" w:hAnsi="Consolas"/>
      <w:b/>
      <w:color w:val="666666"/>
      <w:sz w:val="22"/>
    </w:rPr>
  </w:style>
  <w:style w:type="character" w:customStyle="1" w:styleId="BuiltInTok">
    <w:name w:val="BuiltInTok"/>
    <w:basedOn w:val="VerbatimChar"/>
    <w:rPr>
      <w:rFonts w:ascii="Consolas" w:hAnsi="Consolas"/>
      <w:b/>
      <w:sz w:val="22"/>
    </w:rPr>
  </w:style>
  <w:style w:type="character" w:customStyle="1" w:styleId="ExtensionTok">
    <w:name w:val="ExtensionTok"/>
    <w:basedOn w:val="VerbatimChar"/>
    <w:rPr>
      <w:rFonts w:ascii="Consolas" w:hAnsi="Consolas"/>
      <w:b/>
      <w:sz w:val="22"/>
    </w:rPr>
  </w:style>
  <w:style w:type="character" w:customStyle="1" w:styleId="PreprocessorTok">
    <w:name w:val="PreprocessorTok"/>
    <w:basedOn w:val="VerbatimChar"/>
    <w:rPr>
      <w:rFonts w:ascii="Consolas" w:hAnsi="Consolas"/>
      <w:b/>
      <w:color w:val="BC7A00"/>
      <w:sz w:val="22"/>
    </w:rPr>
  </w:style>
  <w:style w:type="character" w:customStyle="1" w:styleId="AttributeTok">
    <w:name w:val="AttributeTok"/>
    <w:basedOn w:val="VerbatimChar"/>
    <w:rPr>
      <w:rFonts w:ascii="Consolas" w:hAnsi="Consolas"/>
      <w:b/>
      <w:color w:val="7D9029"/>
      <w:sz w:val="22"/>
    </w:rPr>
  </w:style>
  <w:style w:type="character" w:customStyle="1" w:styleId="RegionMarkerTok">
    <w:name w:val="RegionMarkerTok"/>
    <w:basedOn w:val="VerbatimChar"/>
    <w:rPr>
      <w:rFonts w:ascii="Consolas" w:hAnsi="Consolas"/>
      <w:b/>
      <w:sz w:val="22"/>
    </w:rPr>
  </w:style>
  <w:style w:type="character" w:customStyle="1" w:styleId="InformationTok">
    <w:name w:val="InformationTok"/>
    <w:basedOn w:val="VerbatimChar"/>
    <w:rPr>
      <w:rFonts w:ascii="Consolas" w:hAnsi="Consolas"/>
      <w:b w:val="0"/>
      <w:i/>
      <w:color w:val="60A0B0"/>
      <w:sz w:val="22"/>
    </w:rPr>
  </w:style>
  <w:style w:type="character" w:customStyle="1" w:styleId="WarningTok">
    <w:name w:val="WarningTok"/>
    <w:basedOn w:val="VerbatimChar"/>
    <w:rPr>
      <w:rFonts w:ascii="Consolas" w:hAnsi="Consolas"/>
      <w:b w:val="0"/>
      <w:i/>
      <w:color w:val="60A0B0"/>
      <w:sz w:val="22"/>
    </w:rPr>
  </w:style>
  <w:style w:type="character" w:customStyle="1" w:styleId="AlertTok">
    <w:name w:val="AlertTok"/>
    <w:basedOn w:val="VerbatimChar"/>
    <w:rPr>
      <w:rFonts w:ascii="Consolas" w:hAnsi="Consolas"/>
      <w:b w:val="0"/>
      <w:color w:val="FF0000"/>
      <w:sz w:val="22"/>
    </w:rPr>
  </w:style>
  <w:style w:type="character" w:customStyle="1" w:styleId="ErrorTok">
    <w:name w:val="ErrorTok"/>
    <w:basedOn w:val="VerbatimChar"/>
    <w:rPr>
      <w:rFonts w:ascii="Consolas" w:hAnsi="Consolas"/>
      <w:b w:val="0"/>
      <w:color w:val="FF0000"/>
      <w:sz w:val="22"/>
    </w:rPr>
  </w:style>
  <w:style w:type="character" w:customStyle="1" w:styleId="NormalTok">
    <w:name w:val="NormalTok"/>
    <w:basedOn w:val="VerbatimChar"/>
    <w:rPr>
      <w:rFonts w:ascii="Consolas" w:hAnsi="Consolas"/>
      <w:b/>
      <w:sz w:val="22"/>
    </w:rPr>
  </w:style>
  <w:style w:type="paragraph" w:styleId="BalloonText">
    <w:name w:val="Balloon Text"/>
    <w:basedOn w:val="Normal"/>
    <w:link w:val="BalloonTextChar"/>
    <w:semiHidden/>
    <w:unhideWhenUsed/>
    <w:rsid w:val="0077567B"/>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77567B"/>
    <w:rPr>
      <w:rFonts w:ascii="Segoe UI" w:hAnsi="Segoe UI" w:cs="Segoe UI"/>
      <w:sz w:val="18"/>
      <w:szCs w:val="18"/>
    </w:rPr>
  </w:style>
  <w:style w:type="character" w:styleId="LineNumber">
    <w:name w:val="line number"/>
    <w:basedOn w:val="DefaultParagraphFont"/>
    <w:semiHidden/>
    <w:unhideWhenUsed/>
    <w:rsid w:val="00C52767"/>
  </w:style>
  <w:style w:type="character" w:customStyle="1" w:styleId="BodyTextChar">
    <w:name w:val="Body Text Char"/>
    <w:basedOn w:val="DefaultParagraphFont"/>
    <w:link w:val="BodyText"/>
    <w:rsid w:val="00C52767"/>
    <w:rPr>
      <w:rFonts w:ascii="Calibri" w:hAnsi="Calibri"/>
      <w:sz w:val="22"/>
    </w:rPr>
  </w:style>
  <w:style w:type="paragraph" w:styleId="Header">
    <w:name w:val="header"/>
    <w:basedOn w:val="Normal"/>
    <w:link w:val="HeaderChar"/>
    <w:unhideWhenUsed/>
    <w:rsid w:val="007A58C8"/>
    <w:pPr>
      <w:tabs>
        <w:tab w:val="center" w:pos="4513"/>
        <w:tab w:val="right" w:pos="9026"/>
      </w:tabs>
      <w:spacing w:after="0"/>
    </w:pPr>
  </w:style>
  <w:style w:type="character" w:customStyle="1" w:styleId="HeaderChar">
    <w:name w:val="Header Char"/>
    <w:basedOn w:val="DefaultParagraphFont"/>
    <w:link w:val="Header"/>
    <w:rsid w:val="007A58C8"/>
    <w:rPr>
      <w:rFonts w:ascii="Calibri" w:hAnsi="Calibri"/>
      <w:sz w:val="22"/>
    </w:rPr>
  </w:style>
  <w:style w:type="paragraph" w:styleId="Footer">
    <w:name w:val="footer"/>
    <w:basedOn w:val="Normal"/>
    <w:link w:val="FooterChar"/>
    <w:unhideWhenUsed/>
    <w:rsid w:val="007A58C8"/>
    <w:pPr>
      <w:tabs>
        <w:tab w:val="center" w:pos="4513"/>
        <w:tab w:val="right" w:pos="9026"/>
      </w:tabs>
      <w:spacing w:after="0"/>
    </w:pPr>
  </w:style>
  <w:style w:type="character" w:customStyle="1" w:styleId="FooterChar">
    <w:name w:val="Footer Char"/>
    <w:basedOn w:val="DefaultParagraphFont"/>
    <w:link w:val="Footer"/>
    <w:rsid w:val="007A58C8"/>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png" /><Relationship Type="http://schemas.openxmlformats.org/officeDocument/2006/relationships/image" Id="rId34" Target="media/rId34.png" /><Relationship Type="http://schemas.openxmlformats.org/officeDocument/2006/relationships/image" Id="rId73" Target="media/rId73.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78" Target="media/rId78.png" /><Relationship Type="http://schemas.openxmlformats.org/officeDocument/2006/relationships/image" Id="rId21" Target="media/rId21.png" /><Relationship Type="http://schemas.openxmlformats.org/officeDocument/2006/relationships/image" Id="rId92" Target="media/rId92.png" /><Relationship Type="http://schemas.openxmlformats.org/officeDocument/2006/relationships/image" Id="rId37" Target="media/rId37.png" /><Relationship Type="http://schemas.openxmlformats.org/officeDocument/2006/relationships/image" Id="rId85" Target="media/rId85.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28" Target="media/rId28.png" /><Relationship Type="http://schemas.openxmlformats.org/officeDocument/2006/relationships/image" Id="rId65" Target="media/rId65.jpg" /><Relationship Type="http://schemas.openxmlformats.org/officeDocument/2006/relationships/image" Id="rId66" Target="media/rId66.jpg" /><Relationship Type="http://schemas.openxmlformats.org/officeDocument/2006/relationships/image" Id="rId67" Target="media/rId67.jpg" /><Relationship Type="http://schemas.openxmlformats.org/officeDocument/2006/relationships/image" Id="rId68" Target="media/rId68.jpg" /><Relationship Type="http://schemas.openxmlformats.org/officeDocument/2006/relationships/image" Id="rId69" Target="media/rId69.jpg" /><Relationship Type="http://schemas.openxmlformats.org/officeDocument/2006/relationships/image" Id="rId70" Target="media/rId70.jpg" /><Relationship Type="http://schemas.openxmlformats.org/officeDocument/2006/relationships/image" Id="rId61" Target="media/rId61.jpg" /><Relationship Type="http://schemas.openxmlformats.org/officeDocument/2006/relationships/image" Id="rId62" Target="media/rId62.jpg" /><Relationship Type="http://schemas.openxmlformats.org/officeDocument/2006/relationships/image" Id="rId63" Target="media/rId63.jpg" /><Relationship Type="http://schemas.openxmlformats.org/officeDocument/2006/relationships/image" Id="rId64" Target="media/rId64.jpg" /><Relationship Type="http://schemas.openxmlformats.org/officeDocument/2006/relationships/hyperlink" Id="rId131" Target="https://doi.org/10.1002/adma.201704679" TargetMode="External" /><Relationship Type="http://schemas.openxmlformats.org/officeDocument/2006/relationships/hyperlink" Id="rId166" Target="https://doi.org/10.1002/anie.201409334" TargetMode="External" /><Relationship Type="http://schemas.openxmlformats.org/officeDocument/2006/relationships/hyperlink" Id="rId98" Target="https://doi.org/10.1007/s10163-009-0257-1" TargetMode="External" /><Relationship Type="http://schemas.openxmlformats.org/officeDocument/2006/relationships/hyperlink" Id="rId168" Target="https://doi.org/10.1007/s10450-019-00168-5" TargetMode="External" /><Relationship Type="http://schemas.openxmlformats.org/officeDocument/2006/relationships/hyperlink" Id="rId115" Target="https://doi.org/10.1016/S0304-3894(00)00318-6" TargetMode="External" /><Relationship Type="http://schemas.openxmlformats.org/officeDocument/2006/relationships/hyperlink" Id="rId111" Target="https://doi.org/10.1016/j.cej.2010.10.032" TargetMode="External" /><Relationship Type="http://schemas.openxmlformats.org/officeDocument/2006/relationships/hyperlink" Id="rId147" Target="https://doi.org/10.1016/j.ces.2019.115430" TargetMode="External" /><Relationship Type="http://schemas.openxmlformats.org/officeDocument/2006/relationships/hyperlink" Id="rId125" Target="https://doi.org/10.1016/j.chempr.2019.10.012" TargetMode="External" /><Relationship Type="http://schemas.openxmlformats.org/officeDocument/2006/relationships/hyperlink" Id="rId104" Target="https://doi.org/10.1016/j.enconman.2005.10.016" TargetMode="External" /><Relationship Type="http://schemas.openxmlformats.org/officeDocument/2006/relationships/hyperlink" Id="rId212" Target="https://doi.org/10.1016/j.matt.2020.10.009" TargetMode="External" /><Relationship Type="http://schemas.openxmlformats.org/officeDocument/2006/relationships/hyperlink" Id="rId200" Target="https://doi.org/10.1016/j.micromeso.2009.02.020" TargetMode="External" /><Relationship Type="http://schemas.openxmlformats.org/officeDocument/2006/relationships/hyperlink" Id="rId152" Target="https://doi.org/10.1016/j.micromeso.2011.08.020" TargetMode="External" /><Relationship Type="http://schemas.openxmlformats.org/officeDocument/2006/relationships/hyperlink" Id="rId113" Target="https://doi.org/10.1016/j.micromeso.2015.04.016" TargetMode="External" /><Relationship Type="http://schemas.openxmlformats.org/officeDocument/2006/relationships/hyperlink" Id="rId137" Target="https://doi.org/10.1016/j.micromeso.2020.110044" TargetMode="External" /><Relationship Type="http://schemas.openxmlformats.org/officeDocument/2006/relationships/hyperlink" Id="rId96" Target="https://doi.org/10.1016/j.renene.2006.04.020" TargetMode="External" /><Relationship Type="http://schemas.openxmlformats.org/officeDocument/2006/relationships/hyperlink" Id="rId135" Target="https://doi.org/10.1016/j.renene.2019.01.096" TargetMode="External" /><Relationship Type="http://schemas.openxmlformats.org/officeDocument/2006/relationships/hyperlink" Id="rId106" Target="https://doi.org/10.1016/j.wasman.2017.02.001" TargetMode="External" /><Relationship Type="http://schemas.openxmlformats.org/officeDocument/2006/relationships/hyperlink" Id="rId139" Target="https://doi.org/10.1021/acs.chemmater.5b01475" TargetMode="External" /><Relationship Type="http://schemas.openxmlformats.org/officeDocument/2006/relationships/hyperlink" Id="rId173" Target="https://doi.org/10.1021/acs.chemmater.8b00843" TargetMode="External" /><Relationship Type="http://schemas.openxmlformats.org/officeDocument/2006/relationships/hyperlink" Id="rId129" Target="https://doi.org/10.1021/acs.chemrev.0c00033" TargetMode="External" /><Relationship Type="http://schemas.openxmlformats.org/officeDocument/2006/relationships/hyperlink" Id="rId127" Target="https://doi.org/10.1021/acs.chemrev.9b00685" TargetMode="External" /><Relationship Type="http://schemas.openxmlformats.org/officeDocument/2006/relationships/hyperlink" Id="rId164" Target="https://doi.org/10.1021/acs.jpcc.7b07029" TargetMode="External" /><Relationship Type="http://schemas.openxmlformats.org/officeDocument/2006/relationships/hyperlink" Id="rId204" Target="https://doi.org/10.1021/cg301691d" TargetMode="External" /><Relationship Type="http://schemas.openxmlformats.org/officeDocument/2006/relationships/hyperlink" Id="rId119" Target="https://doi.org/10.1021/cr300014x" TargetMode="External" /><Relationship Type="http://schemas.openxmlformats.org/officeDocument/2006/relationships/hyperlink" Id="rId170" Target="https://doi.org/10.1021/cr5002589" TargetMode="External" /><Relationship Type="http://schemas.openxmlformats.org/officeDocument/2006/relationships/hyperlink" Id="rId158" Target="https://doi.org/10.1021/ie800666s" TargetMode="External" /><Relationship Type="http://schemas.openxmlformats.org/officeDocument/2006/relationships/hyperlink" Id="rId216" Target="https://doi.org/10.1021/ja408084j" TargetMode="External" /><Relationship Type="http://schemas.openxmlformats.org/officeDocument/2006/relationships/hyperlink" Id="rId188" Target="https://doi.org/10.1021/ja808853q" TargetMode="External" /><Relationship Type="http://schemas.openxmlformats.org/officeDocument/2006/relationships/hyperlink" Id="rId214" Target="https://doi.org/10.1021/jacs.9b11963" TargetMode="External" /><Relationship Type="http://schemas.openxmlformats.org/officeDocument/2006/relationships/hyperlink" Id="rId143" Target="https://doi.org/10.1038/s41467-018-03892-8" TargetMode="External" /><Relationship Type="http://schemas.openxmlformats.org/officeDocument/2006/relationships/hyperlink" Id="rId208" Target="https://doi.org/10.1038/s41467-018-04034-w" TargetMode="External" /><Relationship Type="http://schemas.openxmlformats.org/officeDocument/2006/relationships/hyperlink" Id="rId121" Target="https://doi.org/10.1038/s41467-020-16527-8" TargetMode="External" /><Relationship Type="http://schemas.openxmlformats.org/officeDocument/2006/relationships/hyperlink" Id="rId210" Target="https://doi.org/10.1038/s41560-018-0261-6" TargetMode="External" /><Relationship Type="http://schemas.openxmlformats.org/officeDocument/2006/relationships/hyperlink" Id="rId145" Target="https://doi.org/10.1038/s41586-019-1798-7" TargetMode="External" /><Relationship Type="http://schemas.openxmlformats.org/officeDocument/2006/relationships/hyperlink" Id="rId149" Target="https://doi.org/10.1038/s42256-020-00271-1" TargetMode="External" /><Relationship Type="http://schemas.openxmlformats.org/officeDocument/2006/relationships/hyperlink" Id="rId117" Target="https://doi.org/10.1039/B618320B" TargetMode="External" /><Relationship Type="http://schemas.openxmlformats.org/officeDocument/2006/relationships/hyperlink" Id="rId141" Target="https://doi.org/10.1039/C7TA02916K" TargetMode="External" /><Relationship Type="http://schemas.openxmlformats.org/officeDocument/2006/relationships/hyperlink" Id="rId123" Target="https://doi.org/10.1039/C9EE00505F" TargetMode="External" /><Relationship Type="http://schemas.openxmlformats.org/officeDocument/2006/relationships/hyperlink" Id="rId202" Target="https://doi.org/10.1039/c2cc34246d" TargetMode="External" /><Relationship Type="http://schemas.openxmlformats.org/officeDocument/2006/relationships/hyperlink" Id="rId206" Target="https://doi.org/10.1039/c2jm15609a" TargetMode="External" /><Relationship Type="http://schemas.openxmlformats.org/officeDocument/2006/relationships/hyperlink" Id="rId133" Target="https://doi.org/10.1039/c3ta11217a" TargetMode="External" /><Relationship Type="http://schemas.openxmlformats.org/officeDocument/2006/relationships/hyperlink" Id="rId162" Target="https://doi.org/10.1063/1.4879657" TargetMode="External" /><Relationship Type="http://schemas.openxmlformats.org/officeDocument/2006/relationships/hyperlink" Id="rId177" Target="https://doi.org/10.1080/08927022.2020.1828585" TargetMode="External" /><Relationship Type="http://schemas.openxmlformats.org/officeDocument/2006/relationships/hyperlink" Id="rId102" Target="https://doi.org/10.1080/10643389.2019.1607443" TargetMode="External" /><Relationship Type="http://schemas.openxmlformats.org/officeDocument/2006/relationships/hyperlink" Id="rId192" Target="https://doi.org/10.1103/PhysRevLett.77.3865" TargetMode="External" /><Relationship Type="http://schemas.openxmlformats.org/officeDocument/2006/relationships/hyperlink" Id="rId181" Target="https://doi.org/10.1126/science.1192160" TargetMode="External" /><Relationship Type="http://schemas.openxmlformats.org/officeDocument/2006/relationships/hyperlink" Id="rId186" Target="https://doi.org/10.1515/pac-2014-1117" TargetMode="External" /><Relationship Type="http://schemas.openxmlformats.org/officeDocument/2006/relationships/hyperlink" Id="rId100" Target="https://doi.org/10.2166/wst.2008.498" TargetMode="External" /><Relationship Type="http://schemas.openxmlformats.org/officeDocument/2006/relationships/hyperlink" Id="rId24" Target="https://pauliacomi.com/mof4d4" TargetMode="External" /><Relationship Type="http://schemas.openxmlformats.org/officeDocument/2006/relationships/hyperlink" Id="rId20" Target="mailto:guillaume.maurin1@umontpellier.fr" TargetMode="External" /></Relationships>
</file>

<file path=word/_rels/footnotes.xml.rels><?xml version="1.0" encoding="UTF-8"?>
<Relationships xmlns="http://schemas.openxmlformats.org/package/2006/relationships"><Relationship Type="http://schemas.openxmlformats.org/officeDocument/2006/relationships/hyperlink" Id="rId131" Target="https://doi.org/10.1002/adma.201704679" TargetMode="External" /><Relationship Type="http://schemas.openxmlformats.org/officeDocument/2006/relationships/hyperlink" Id="rId166" Target="https://doi.org/10.1002/anie.201409334" TargetMode="External" /><Relationship Type="http://schemas.openxmlformats.org/officeDocument/2006/relationships/hyperlink" Id="rId98" Target="https://doi.org/10.1007/s10163-009-0257-1" TargetMode="External" /><Relationship Type="http://schemas.openxmlformats.org/officeDocument/2006/relationships/hyperlink" Id="rId168" Target="https://doi.org/10.1007/s10450-019-00168-5" TargetMode="External" /><Relationship Type="http://schemas.openxmlformats.org/officeDocument/2006/relationships/hyperlink" Id="rId115" Target="https://doi.org/10.1016/S0304-3894(00)00318-6" TargetMode="External" /><Relationship Type="http://schemas.openxmlformats.org/officeDocument/2006/relationships/hyperlink" Id="rId111" Target="https://doi.org/10.1016/j.cej.2010.10.032" TargetMode="External" /><Relationship Type="http://schemas.openxmlformats.org/officeDocument/2006/relationships/hyperlink" Id="rId147" Target="https://doi.org/10.1016/j.ces.2019.115430" TargetMode="External" /><Relationship Type="http://schemas.openxmlformats.org/officeDocument/2006/relationships/hyperlink" Id="rId125" Target="https://doi.org/10.1016/j.chempr.2019.10.012" TargetMode="External" /><Relationship Type="http://schemas.openxmlformats.org/officeDocument/2006/relationships/hyperlink" Id="rId104" Target="https://doi.org/10.1016/j.enconman.2005.10.016" TargetMode="External" /><Relationship Type="http://schemas.openxmlformats.org/officeDocument/2006/relationships/hyperlink" Id="rId212" Target="https://doi.org/10.1016/j.matt.2020.10.009" TargetMode="External" /><Relationship Type="http://schemas.openxmlformats.org/officeDocument/2006/relationships/hyperlink" Id="rId200" Target="https://doi.org/10.1016/j.micromeso.2009.02.020" TargetMode="External" /><Relationship Type="http://schemas.openxmlformats.org/officeDocument/2006/relationships/hyperlink" Id="rId152" Target="https://doi.org/10.1016/j.micromeso.2011.08.020" TargetMode="External" /><Relationship Type="http://schemas.openxmlformats.org/officeDocument/2006/relationships/hyperlink" Id="rId113" Target="https://doi.org/10.1016/j.micromeso.2015.04.016" TargetMode="External" /><Relationship Type="http://schemas.openxmlformats.org/officeDocument/2006/relationships/hyperlink" Id="rId137" Target="https://doi.org/10.1016/j.micromeso.2020.110044" TargetMode="External" /><Relationship Type="http://schemas.openxmlformats.org/officeDocument/2006/relationships/hyperlink" Id="rId96" Target="https://doi.org/10.1016/j.renene.2006.04.020" TargetMode="External" /><Relationship Type="http://schemas.openxmlformats.org/officeDocument/2006/relationships/hyperlink" Id="rId135" Target="https://doi.org/10.1016/j.renene.2019.01.096" TargetMode="External" /><Relationship Type="http://schemas.openxmlformats.org/officeDocument/2006/relationships/hyperlink" Id="rId106" Target="https://doi.org/10.1016/j.wasman.2017.02.001" TargetMode="External" /><Relationship Type="http://schemas.openxmlformats.org/officeDocument/2006/relationships/hyperlink" Id="rId139" Target="https://doi.org/10.1021/acs.chemmater.5b01475" TargetMode="External" /><Relationship Type="http://schemas.openxmlformats.org/officeDocument/2006/relationships/hyperlink" Id="rId173" Target="https://doi.org/10.1021/acs.chemmater.8b00843" TargetMode="External" /><Relationship Type="http://schemas.openxmlformats.org/officeDocument/2006/relationships/hyperlink" Id="rId129" Target="https://doi.org/10.1021/acs.chemrev.0c00033" TargetMode="External" /><Relationship Type="http://schemas.openxmlformats.org/officeDocument/2006/relationships/hyperlink" Id="rId127" Target="https://doi.org/10.1021/acs.chemrev.9b00685" TargetMode="External" /><Relationship Type="http://schemas.openxmlformats.org/officeDocument/2006/relationships/hyperlink" Id="rId164" Target="https://doi.org/10.1021/acs.jpcc.7b07029" TargetMode="External" /><Relationship Type="http://schemas.openxmlformats.org/officeDocument/2006/relationships/hyperlink" Id="rId204" Target="https://doi.org/10.1021/cg301691d" TargetMode="External" /><Relationship Type="http://schemas.openxmlformats.org/officeDocument/2006/relationships/hyperlink" Id="rId119" Target="https://doi.org/10.1021/cr300014x" TargetMode="External" /><Relationship Type="http://schemas.openxmlformats.org/officeDocument/2006/relationships/hyperlink" Id="rId170" Target="https://doi.org/10.1021/cr5002589" TargetMode="External" /><Relationship Type="http://schemas.openxmlformats.org/officeDocument/2006/relationships/hyperlink" Id="rId158" Target="https://doi.org/10.1021/ie800666s" TargetMode="External" /><Relationship Type="http://schemas.openxmlformats.org/officeDocument/2006/relationships/hyperlink" Id="rId216" Target="https://doi.org/10.1021/ja408084j" TargetMode="External" /><Relationship Type="http://schemas.openxmlformats.org/officeDocument/2006/relationships/hyperlink" Id="rId188" Target="https://doi.org/10.1021/ja808853q" TargetMode="External" /><Relationship Type="http://schemas.openxmlformats.org/officeDocument/2006/relationships/hyperlink" Id="rId214" Target="https://doi.org/10.1021/jacs.9b11963" TargetMode="External" /><Relationship Type="http://schemas.openxmlformats.org/officeDocument/2006/relationships/hyperlink" Id="rId143" Target="https://doi.org/10.1038/s41467-018-03892-8" TargetMode="External" /><Relationship Type="http://schemas.openxmlformats.org/officeDocument/2006/relationships/hyperlink" Id="rId208" Target="https://doi.org/10.1038/s41467-018-04034-w" TargetMode="External" /><Relationship Type="http://schemas.openxmlformats.org/officeDocument/2006/relationships/hyperlink" Id="rId121" Target="https://doi.org/10.1038/s41467-020-16527-8" TargetMode="External" /><Relationship Type="http://schemas.openxmlformats.org/officeDocument/2006/relationships/hyperlink" Id="rId210" Target="https://doi.org/10.1038/s41560-018-0261-6" TargetMode="External" /><Relationship Type="http://schemas.openxmlformats.org/officeDocument/2006/relationships/hyperlink" Id="rId145" Target="https://doi.org/10.1038/s41586-019-1798-7" TargetMode="External" /><Relationship Type="http://schemas.openxmlformats.org/officeDocument/2006/relationships/hyperlink" Id="rId149" Target="https://doi.org/10.1038/s42256-020-00271-1" TargetMode="External" /><Relationship Type="http://schemas.openxmlformats.org/officeDocument/2006/relationships/hyperlink" Id="rId117" Target="https://doi.org/10.1039/B618320B" TargetMode="External" /><Relationship Type="http://schemas.openxmlformats.org/officeDocument/2006/relationships/hyperlink" Id="rId141" Target="https://doi.org/10.1039/C7TA02916K" TargetMode="External" /><Relationship Type="http://schemas.openxmlformats.org/officeDocument/2006/relationships/hyperlink" Id="rId123" Target="https://doi.org/10.1039/C9EE00505F" TargetMode="External" /><Relationship Type="http://schemas.openxmlformats.org/officeDocument/2006/relationships/hyperlink" Id="rId202" Target="https://doi.org/10.1039/c2cc34246d" TargetMode="External" /><Relationship Type="http://schemas.openxmlformats.org/officeDocument/2006/relationships/hyperlink" Id="rId206" Target="https://doi.org/10.1039/c2jm15609a" TargetMode="External" /><Relationship Type="http://schemas.openxmlformats.org/officeDocument/2006/relationships/hyperlink" Id="rId133" Target="https://doi.org/10.1039/c3ta11217a" TargetMode="External" /><Relationship Type="http://schemas.openxmlformats.org/officeDocument/2006/relationships/hyperlink" Id="rId162" Target="https://doi.org/10.1063/1.4879657" TargetMode="External" /><Relationship Type="http://schemas.openxmlformats.org/officeDocument/2006/relationships/hyperlink" Id="rId177" Target="https://doi.org/10.1080/08927022.2020.1828585" TargetMode="External" /><Relationship Type="http://schemas.openxmlformats.org/officeDocument/2006/relationships/hyperlink" Id="rId102" Target="https://doi.org/10.1080/10643389.2019.1607443" TargetMode="External" /><Relationship Type="http://schemas.openxmlformats.org/officeDocument/2006/relationships/hyperlink" Id="rId192" Target="https://doi.org/10.1103/PhysRevLett.77.3865" TargetMode="External" /><Relationship Type="http://schemas.openxmlformats.org/officeDocument/2006/relationships/hyperlink" Id="rId181" Target="https://doi.org/10.1126/science.1192160" TargetMode="External" /><Relationship Type="http://schemas.openxmlformats.org/officeDocument/2006/relationships/hyperlink" Id="rId186" Target="https://doi.org/10.1515/pac-2014-1117" TargetMode="External" /><Relationship Type="http://schemas.openxmlformats.org/officeDocument/2006/relationships/hyperlink" Id="rId100" Target="https://doi.org/10.2166/wst.2008.498" TargetMode="External" /><Relationship Type="http://schemas.openxmlformats.org/officeDocument/2006/relationships/hyperlink" Id="rId24" Target="https://pauliacomi.com/mof4d4" TargetMode="External" /><Relationship Type="http://schemas.openxmlformats.org/officeDocument/2006/relationships/hyperlink" Id="rId20" Target="mailto:guillaume.maurin1@umontpellier.f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2</Pages>
  <Words>344</Words>
  <Characters>1963</Characters>
  <Application>Microsoft Office Word</Application>
  <DocSecurity>0</DocSecurity>
  <Lines>16</Lines>
  <Paragraphs>4</Paragraphs>
  <ScaleCrop>false</ScaleCrop>
  <Company/>
  <LinksUpToDate>false</LinksUpToDate>
  <CharactersWithSpaces>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Breaking the Upper Bound of Siloxane Uptake: Metal-Organic Frameworks as an Adsorbent Platform</dc:title>
  <dc:creator>Ezgi Gulcay*,1, Paul Iacomi*,1, Youngsang Ko2, Jong-San Chang2, Guillaume Rioland3, Sabine Devautour1, and Guillaume Maurin1,✉</dc:creator>
  <cp:keywords/>
  <dcterms:created xsi:type="dcterms:W3CDTF">2021-03-11T08:58:31Z</dcterms:created>
  <dcterms:modified xsi:type="dcterms:W3CDTF">2021-03-11T08:58:31Z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Biogas, regarded as a promising renewable energy source, still needs to be upgraded. This calls for the removal of the most prominent contaminants, among others the octamethylcyclotetrasiloxane (D4) molecule. Herein, high throughput computational screening in tandem with synthesis and adsorption testing revealed the hydrophobic Zr-MOF PCN-777 as an optimal D4 adsorbent with record gravimetric (1.8 g/g) and volumetric (0.49 g/cm3) uptakes, alongside a reversible and fast adsorption/desorption process, good cyclability and easy regeneration. This MOF was demonstrated to encompass an ideal combination of mesoporous cages and chemical functionality to enable an optimal packing of the siloxane molecules and their efficient removal while maintaining the process highly reversible thanks to moderately high host/guest interactions. This work highlights the efficacy of an integrated workflow for accelerating adsorbent selection for a desired application, spanning the entire pipeline from method validation to computational screening, synthesis and adsorption testing towards the identification of the optimal adsorbents.</vt:lpwstr>
  </property>
  <property fmtid="{D5CDD505-2E9C-101B-9397-08002B2CF9AE}" pid="3" name="autoEqnLabels">
    <vt:lpwstr>True</vt:lpwstr>
  </property>
  <property fmtid="{D5CDD505-2E9C-101B-9397-08002B2CF9AE}" pid="4" name="autoSectionLabels">
    <vt:lpwstr>False</vt:lpwstr>
  </property>
  <property fmtid="{D5CDD505-2E9C-101B-9397-08002B2CF9AE}" pid="5" name="bibliography">
    <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ito_cites">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templates/pandoc/csl/ieee.csl</vt:lpwstr>
  </property>
  <property fmtid="{D5CDD505-2E9C-101B-9397-08002B2CF9AE}" pid="17" name="eqLabels">
    <vt:lpwstr>arabic</vt:lpwstr>
  </property>
  <property fmtid="{D5CDD505-2E9C-101B-9397-08002B2CF9AE}" pid="18" name="eqnPrefix">
    <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lastDelim">
    <vt:lpwstr>, </vt:lpwstr>
  </property>
  <property fmtid="{D5CDD505-2E9C-101B-9397-08002B2CF9AE}" pid="26" name="link-citations">
    <vt:lpwstr>True</vt:lpwstr>
  </property>
  <property fmtid="{D5CDD505-2E9C-101B-9397-08002B2CF9AE}" pid="27" name="linkReferences">
    <vt:lpwstr>True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True</vt:lpwstr>
  </property>
  <property fmtid="{D5CDD505-2E9C-101B-9397-08002B2CF9AE}" pid="39" name="numberSections">
    <vt:lpwstr>False</vt:lpwstr>
  </property>
  <property fmtid="{D5CDD505-2E9C-101B-9397-08002B2CF9AE}" pid="40" name="pairDelim">
    <vt:lpwstr>, </vt:lpwstr>
  </property>
  <property fmtid="{D5CDD505-2E9C-101B-9397-08002B2CF9AE}" pid="41" name="project">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ubfigGrid">
    <vt:lpwstr>False</vt:lpwstr>
  </property>
  <property fmtid="{D5CDD505-2E9C-101B-9397-08002B2CF9AE}" pid="52" name="subfigLabels">
    <vt:lpwstr>alpha a</vt:lpwstr>
  </property>
  <property fmtid="{D5CDD505-2E9C-101B-9397-08002B2CF9AE}" pid="53" name="subfigureChildTemplate">
    <vt:lpwstr>i</vt:lpwstr>
  </property>
  <property fmtid="{D5CDD505-2E9C-101B-9397-08002B2CF9AE}" pid="54" name="subfigureRefIndexTemplate">
    <vt:lpwstr>isuf (s)</vt:lpwstr>
  </property>
  <property fmtid="{D5CDD505-2E9C-101B-9397-08002B2CF9AE}" pid="55" name="subfigureTemplate">
    <vt:lpwstr>figureTitle ititleDelim t. ccs</vt:lpwstr>
  </property>
  <property fmtid="{D5CDD505-2E9C-101B-9397-08002B2CF9AE}" pid="56" name="tableEqns">
    <vt:lpwstr>False</vt:lpwstr>
  </property>
  <property fmtid="{D5CDD505-2E9C-101B-9397-08002B2CF9AE}" pid="57" name="tableTemplate">
    <vt:lpwstr>tableTitle ititleDelim t</vt:lpwstr>
  </property>
  <property fmtid="{D5CDD505-2E9C-101B-9397-08002B2CF9AE}" pid="58" name="tableTitle">
    <vt:lpwstr>Table</vt:lpwstr>
  </property>
  <property fmtid="{D5CDD505-2E9C-101B-9397-08002B2CF9AE}" pid="59" name="tblLabels">
    <vt:lpwstr>arabic</vt:lpwstr>
  </property>
  <property fmtid="{D5CDD505-2E9C-101B-9397-08002B2CF9AE}" pid="60" name="tblPrefix">
    <vt:lpwstr/>
  </property>
  <property fmtid="{D5CDD505-2E9C-101B-9397-08002B2CF9AE}" pid="61" name="tblPrefixTemplate">
    <vt:lpwstr>p i</vt:lpwstr>
  </property>
  <property fmtid="{D5CDD505-2E9C-101B-9397-08002B2CF9AE}" pid="62" name="titleDelim">
    <vt:lpwstr>:</vt:lpwstr>
  </property>
  <property fmtid="{D5CDD505-2E9C-101B-9397-08002B2CF9AE}" pid="63" name="xnos-capitalise">
    <vt:lpwstr>True</vt:lpwstr>
  </property>
  <property fmtid="{D5CDD505-2E9C-101B-9397-08002B2CF9AE}" pid="64" name="xnos-number-by-section">
    <vt:lpwstr>False</vt:lpwstr>
  </property>
</Properties>
</file>